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3CEAEB5A" w:rsidR="00E20B8C" w:rsidRDefault="0074184B" w:rsidP="0074184B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March 4, 2020</w:t>
      </w:r>
    </w:p>
    <w:p w14:paraId="722A73A4" w14:textId="717CE35E" w:rsidR="00764C01" w:rsidRDefault="0074184B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PUB 317</w:t>
      </w:r>
    </w:p>
    <w:p w14:paraId="0F347314" w14:textId="59E91339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74184B">
        <w:rPr>
          <w:rFonts w:ascii="Bookman Old Style" w:hAnsi="Bookman Old Style"/>
          <w:sz w:val="22"/>
          <w:szCs w:val="22"/>
        </w:rPr>
        <w:t>5:00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45C85E80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934C78">
        <w:rPr>
          <w:rFonts w:ascii="Bookman Old Style" w:hAnsi="Bookman Old Style"/>
          <w:sz w:val="22"/>
          <w:szCs w:val="22"/>
        </w:rPr>
        <w:t>,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3715436C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934C78">
        <w:rPr>
          <w:rFonts w:ascii="Bookman Old Style" w:hAnsi="Bookman Old Style"/>
          <w:sz w:val="22"/>
          <w:szCs w:val="22"/>
        </w:rPr>
        <w:t>,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48927EBF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934C7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Associate Justice #2</w:t>
      </w:r>
    </w:p>
    <w:p w14:paraId="6E12D752" w14:textId="7BDF8231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934C7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9AD63EF" w:rsidR="008E46D2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Coffell</w:t>
      </w:r>
      <w:r w:rsidR="00934C78">
        <w:rPr>
          <w:rFonts w:ascii="Bookman Old Style" w:hAnsi="Bookman Old Style"/>
          <w:sz w:val="22"/>
          <w:szCs w:val="22"/>
        </w:rPr>
        <w:t>,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13B1AE84" w14:textId="2ACC4F40" w:rsidR="0074184B" w:rsidRDefault="00934C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Arturo Diaz, Complainant</w:t>
      </w:r>
    </w:p>
    <w:p w14:paraId="6D1F719E" w14:textId="5AD3EDB6" w:rsidR="00934C78" w:rsidRPr="00875074" w:rsidRDefault="00934C78" w:rsidP="0087507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Kianna “Key” Baker, Accused</w:t>
      </w:r>
    </w:p>
    <w:p w14:paraId="0F347349" w14:textId="6CF88957" w:rsidR="00710B22" w:rsidRDefault="00934C7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Complaint</w:t>
      </w:r>
    </w:p>
    <w:p w14:paraId="15B9D0FC" w14:textId="7F127119" w:rsidR="00934C78" w:rsidRDefault="00934C78" w:rsidP="00934C7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petition</w:t>
      </w:r>
    </w:p>
    <w:p w14:paraId="0189D3EE" w14:textId="11707C32" w:rsidR="00934C78" w:rsidRDefault="00934C78" w:rsidP="00934C7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any other necessary documents</w:t>
      </w:r>
    </w:p>
    <w:p w14:paraId="23594057" w14:textId="74C2D717"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Opening Statements</w:t>
      </w:r>
    </w:p>
    <w:p w14:paraId="71C27355" w14:textId="2916C70F"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Arturo Diaz [3 min]</w:t>
      </w:r>
    </w:p>
    <w:p w14:paraId="69DF5F61" w14:textId="340238AE"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Baker [3 min]</w:t>
      </w:r>
    </w:p>
    <w:p w14:paraId="4730A631" w14:textId="13F35299" w:rsidR="00875074" w:rsidRDefault="00875074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Arguments</w:t>
      </w:r>
    </w:p>
    <w:p w14:paraId="78B47ACA" w14:textId="16BBEAB8" w:rsidR="00875074" w:rsidRDefault="00875074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Arturo Diaz [10 min]</w:t>
      </w:r>
    </w:p>
    <w:p w14:paraId="42284120" w14:textId="7B00046A" w:rsidR="00875074" w:rsidRDefault="00875074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Baker [10 min]</w:t>
      </w:r>
    </w:p>
    <w:p w14:paraId="544547BF" w14:textId="6BCA33C3"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Witness Statements</w:t>
      </w:r>
    </w:p>
    <w:p w14:paraId="032CBA44" w14:textId="1F41C1D2"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Complainant Witness [5 min per witness]</w:t>
      </w:r>
    </w:p>
    <w:p w14:paraId="0FF81EB2" w14:textId="0973EDA0" w:rsidR="00875074" w:rsidRPr="00875074" w:rsidRDefault="00934C78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Accused Witness [5 min per witness</w:t>
      </w:r>
      <w:r w:rsidR="00875074">
        <w:rPr>
          <w:rFonts w:ascii="Bookman Old Style" w:hAnsi="Bookman Old Style"/>
          <w:sz w:val="22"/>
          <w:szCs w:val="22"/>
        </w:rPr>
        <w:t>]</w:t>
      </w:r>
    </w:p>
    <w:p w14:paraId="6261D6D8" w14:textId="618CFE32" w:rsidR="00934C78" w:rsidRDefault="00875074" w:rsidP="00875074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Closing Statements</w:t>
      </w:r>
    </w:p>
    <w:p w14:paraId="299F2CA4" w14:textId="038F58ED" w:rsidR="00875074" w:rsidRDefault="00875074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Arturo Diaz [3 min]</w:t>
      </w:r>
    </w:p>
    <w:p w14:paraId="67664AC7" w14:textId="7006EC58" w:rsidR="00875074" w:rsidRPr="00875074" w:rsidRDefault="00875074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Baker [3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min]</w:t>
      </w:r>
    </w:p>
    <w:p w14:paraId="717C12B9" w14:textId="11A6482C"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Deliberation</w:t>
      </w:r>
    </w:p>
    <w:p w14:paraId="332B7F26" w14:textId="3F214064"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Time adjourned to deliberation</w:t>
      </w:r>
    </w:p>
    <w:p w14:paraId="79B008D4" w14:textId="47EA44AA"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Time returned from deliberation</w:t>
      </w:r>
    </w:p>
    <w:p w14:paraId="6B269D4E" w14:textId="47D12F1F"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Announcement of Decision</w:t>
      </w:r>
    </w:p>
    <w:p w14:paraId="3F09A3B6" w14:textId="53CD3F1A"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Brief description of the final decision by court</w:t>
      </w:r>
    </w:p>
    <w:p w14:paraId="48FDC560" w14:textId="02101B2A"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Adjournment</w:t>
      </w:r>
    </w:p>
    <w:p w14:paraId="3EEECBB6" w14:textId="74E3A556" w:rsidR="00934C78" w:rsidRP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</w:p>
    <w:sectPr w:rsidR="00934C78" w:rsidRPr="00934C78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3F3F9438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875074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22BF2F5E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1B88EBB1" w14:textId="6F129043" w:rsidR="0074184B" w:rsidRDefault="0074184B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 w:rsidRPr="0074184B">
      <w:rPr>
        <w:rFonts w:ascii="Bookman Old Style" w:hAnsi="Bookman Old Style" w:cs="Arial"/>
        <w:b/>
        <w:bCs/>
        <w:color w:val="000000"/>
        <w:sz w:val="28"/>
        <w:szCs w:val="28"/>
      </w:rPr>
      <w:t>Academic Year 2019-2020</w:t>
    </w: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 / Case #001J</w:t>
    </w:r>
  </w:p>
  <w:p w14:paraId="36354B2F" w14:textId="370C1D63" w:rsidR="0074184B" w:rsidRDefault="0074184B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>Diaz v. Baker</w:t>
    </w:r>
  </w:p>
  <w:p w14:paraId="66D03A73" w14:textId="77777777" w:rsidR="0074184B" w:rsidRPr="0074184B" w:rsidRDefault="0074184B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4BDA02B1" w14:textId="10A704F3" w:rsidR="00B53D51" w:rsidRPr="0074184B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 w:rsidRPr="0074184B"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74184B" w:rsidRPr="0074184B">
      <w:rPr>
        <w:rFonts w:ascii="Bookman Old Style" w:hAnsi="Bookman Old Style" w:cs="Arial"/>
        <w:b/>
        <w:bCs/>
        <w:color w:val="000000"/>
        <w:sz w:val="28"/>
        <w:szCs w:val="28"/>
      </w:rPr>
      <w:t>Hearing</w:t>
    </w:r>
    <w:r w:rsidR="00C45716" w:rsidRPr="0074184B">
      <w:rPr>
        <w:rFonts w:ascii="Bookman Old Style" w:hAnsi="Bookman Old Style" w:cs="Arial"/>
        <w:b/>
        <w:bCs/>
        <w:color w:val="000000"/>
        <w:sz w:val="28"/>
        <w:szCs w:val="28"/>
      </w:rPr>
      <w:t xml:space="preserve">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7456C"/>
    <w:rsid w:val="002B5497"/>
    <w:rsid w:val="002C4324"/>
    <w:rsid w:val="002D6A52"/>
    <w:rsid w:val="002F2955"/>
    <w:rsid w:val="003260F7"/>
    <w:rsid w:val="00326351"/>
    <w:rsid w:val="0033030B"/>
    <w:rsid w:val="003327B9"/>
    <w:rsid w:val="00341683"/>
    <w:rsid w:val="00345196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6B12EE"/>
    <w:rsid w:val="006F264B"/>
    <w:rsid w:val="00704768"/>
    <w:rsid w:val="00710B22"/>
    <w:rsid w:val="0074184B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75074"/>
    <w:rsid w:val="00883E89"/>
    <w:rsid w:val="008B7BCD"/>
    <w:rsid w:val="008E0D69"/>
    <w:rsid w:val="008E46D2"/>
    <w:rsid w:val="008E6E72"/>
    <w:rsid w:val="0090530D"/>
    <w:rsid w:val="00934C78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80302"/>
    <w:rsid w:val="00B92A84"/>
    <w:rsid w:val="00BA4543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32DCE"/>
    <w:rsid w:val="00E57DD3"/>
    <w:rsid w:val="00E73B0A"/>
    <w:rsid w:val="00E82AEA"/>
    <w:rsid w:val="00EA00CA"/>
    <w:rsid w:val="00EA202A"/>
    <w:rsid w:val="00EB66A2"/>
    <w:rsid w:val="00F01ABC"/>
    <w:rsid w:val="00F1717E"/>
    <w:rsid w:val="00F20541"/>
    <w:rsid w:val="00F2345E"/>
    <w:rsid w:val="00F3657D"/>
    <w:rsid w:val="00F44C76"/>
    <w:rsid w:val="00F928BB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2</cp:revision>
  <cp:lastPrinted>2020-01-15T22:49:00Z</cp:lastPrinted>
  <dcterms:created xsi:type="dcterms:W3CDTF">2020-02-21T21:22:00Z</dcterms:created>
  <dcterms:modified xsi:type="dcterms:W3CDTF">2020-02-21T21:22:00Z</dcterms:modified>
</cp:coreProperties>
</file>