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16AC0C20" w:rsidR="00E20B8C" w:rsidRDefault="00680118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March 11</w:t>
      </w:r>
      <w:r w:rsidR="000052E9">
        <w:rPr>
          <w:rFonts w:ascii="Bookman Old Style" w:hAnsi="Bookman Old Style"/>
          <w:sz w:val="22"/>
          <w:szCs w:val="22"/>
        </w:rPr>
        <w:t>, 2020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10EC6E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3A653B">
        <w:rPr>
          <w:rFonts w:ascii="Bookman Old Style" w:hAnsi="Bookman Old Style"/>
          <w:sz w:val="22"/>
          <w:szCs w:val="22"/>
        </w:rPr>
        <w:t>4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0B4297B" w14:textId="63E54B9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5B8A11BF" w14:textId="5A858E62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1029D6AF" w14:textId="4D2E5370" w:rsidR="00F95DA9" w:rsidRDefault="00680118" w:rsidP="0068011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March 4</w:t>
      </w:r>
      <w:r w:rsidR="00E32DCE">
        <w:rPr>
          <w:rFonts w:ascii="Bookman Old Style" w:hAnsi="Bookman Old Style"/>
          <w:sz w:val="22"/>
          <w:szCs w:val="22"/>
        </w:rPr>
        <w:t>, 2020</w:t>
      </w:r>
    </w:p>
    <w:p w14:paraId="0543CA94" w14:textId="68FB1C95" w:rsidR="00B716A3" w:rsidRPr="00680118" w:rsidRDefault="00B716A3" w:rsidP="0068011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Hearing 001J 2019-2020 Minutes, March 4, 2020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3DD27CBE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1F43D781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4798E14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08B1842F" w:rsidR="00012FB4" w:rsidRDefault="00341683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Associate Justice #3—Reilly [4 min]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146C91D3" w14:textId="6631C6BF" w:rsidR="004B28FD" w:rsidRPr="000B402D" w:rsidRDefault="00361939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Diaz v. Baker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2" w14:textId="3A450CE6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BDDA414" w14:textId="445C426B" w:rsidR="00026DCF" w:rsidRDefault="00361939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76F7B454" w14:textId="760999D7" w:rsidR="00812138" w:rsidRPr="006B12EE" w:rsidRDefault="00812138" w:rsidP="006B12E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Tenant</w:t>
      </w:r>
      <w:r w:rsidR="006F264B">
        <w:rPr>
          <w:rFonts w:ascii="Bookman Old Style" w:hAnsi="Bookman Old Style"/>
          <w:sz w:val="22"/>
          <w:szCs w:val="22"/>
        </w:rPr>
        <w:t>’s Rights Event planning—Brian [15 min]</w:t>
      </w:r>
    </w:p>
    <w:p w14:paraId="65BDB732" w14:textId="3AAB5BA8" w:rsidR="00345196" w:rsidRDefault="00345196" w:rsidP="00345196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Activis</w:t>
      </w:r>
      <w:r w:rsidR="00812138">
        <w:rPr>
          <w:rFonts w:ascii="Bookman Old Style" w:hAnsi="Bookman Old Style"/>
          <w:sz w:val="22"/>
          <w:szCs w:val="22"/>
        </w:rPr>
        <w:t xml:space="preserve">m Rights Event </w:t>
      </w:r>
      <w:r w:rsidR="006F264B">
        <w:rPr>
          <w:rFonts w:ascii="Bookman Old Style" w:hAnsi="Bookman Old Style"/>
          <w:sz w:val="22"/>
          <w:szCs w:val="22"/>
        </w:rPr>
        <w:t>planning—Brian [15</w:t>
      </w:r>
      <w:r>
        <w:rPr>
          <w:rFonts w:ascii="Bookman Old Style" w:hAnsi="Bookman Old Style"/>
          <w:sz w:val="22"/>
          <w:szCs w:val="22"/>
        </w:rPr>
        <w:t xml:space="preserve"> min]</w:t>
      </w:r>
    </w:p>
    <w:p w14:paraId="6E0B6005" w14:textId="140ED65C" w:rsidR="00EE3468" w:rsidRDefault="00BD7C30" w:rsidP="00361939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tabling event on March 12 at 12pm—Angelica [7 min]</w:t>
      </w:r>
    </w:p>
    <w:p w14:paraId="184233B5" w14:textId="1CFF0D80" w:rsidR="007A1745" w:rsidRPr="00361939" w:rsidRDefault="007A1745" w:rsidP="00361939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Reilly’s absence from the March 4</w:t>
      </w:r>
      <w:r w:rsidRPr="007A1745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Court Meeting—Reilly [2 min]</w:t>
      </w:r>
      <w:bookmarkStart w:id="0" w:name="_GoBack"/>
      <w:bookmarkEnd w:id="0"/>
    </w:p>
    <w:p w14:paraId="1D610D1C" w14:textId="5A4CD9D2" w:rsidR="0095621B" w:rsidRDefault="0095621B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Tea Time</w:t>
      </w:r>
    </w:p>
    <w:p w14:paraId="29A2DE86" w14:textId="50BA674D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2E2FA1A0" w:rsidR="00A53898" w:rsidRDefault="00A538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490D0C53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7A1745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D944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052E9"/>
    <w:rsid w:val="00012FB4"/>
    <w:rsid w:val="0002386D"/>
    <w:rsid w:val="00026DCF"/>
    <w:rsid w:val="00050998"/>
    <w:rsid w:val="00054F2C"/>
    <w:rsid w:val="00063092"/>
    <w:rsid w:val="000A5534"/>
    <w:rsid w:val="000B1D99"/>
    <w:rsid w:val="000B1DAB"/>
    <w:rsid w:val="000B402D"/>
    <w:rsid w:val="000B61C8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76B21"/>
    <w:rsid w:val="00182CCD"/>
    <w:rsid w:val="001B593A"/>
    <w:rsid w:val="001C0043"/>
    <w:rsid w:val="001C055A"/>
    <w:rsid w:val="001D1F09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7456C"/>
    <w:rsid w:val="002B5497"/>
    <w:rsid w:val="002C4324"/>
    <w:rsid w:val="002D6A52"/>
    <w:rsid w:val="002F2955"/>
    <w:rsid w:val="003260F7"/>
    <w:rsid w:val="00326351"/>
    <w:rsid w:val="0033030B"/>
    <w:rsid w:val="003327B9"/>
    <w:rsid w:val="00341683"/>
    <w:rsid w:val="00345196"/>
    <w:rsid w:val="00361939"/>
    <w:rsid w:val="003824FE"/>
    <w:rsid w:val="003A653B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D1CA8"/>
    <w:rsid w:val="004E7AB4"/>
    <w:rsid w:val="004F7CDD"/>
    <w:rsid w:val="00521B64"/>
    <w:rsid w:val="00552206"/>
    <w:rsid w:val="00554535"/>
    <w:rsid w:val="00566921"/>
    <w:rsid w:val="0057673A"/>
    <w:rsid w:val="00583B3F"/>
    <w:rsid w:val="005C7C3E"/>
    <w:rsid w:val="00610461"/>
    <w:rsid w:val="00624FE3"/>
    <w:rsid w:val="0063022E"/>
    <w:rsid w:val="00641CDE"/>
    <w:rsid w:val="00663CD7"/>
    <w:rsid w:val="00680118"/>
    <w:rsid w:val="00691665"/>
    <w:rsid w:val="006A0436"/>
    <w:rsid w:val="006B0712"/>
    <w:rsid w:val="006B12EE"/>
    <w:rsid w:val="006F264B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1745"/>
    <w:rsid w:val="007A77AB"/>
    <w:rsid w:val="007B5284"/>
    <w:rsid w:val="007F27A9"/>
    <w:rsid w:val="007F7AE2"/>
    <w:rsid w:val="00812138"/>
    <w:rsid w:val="00814FA4"/>
    <w:rsid w:val="00825AA2"/>
    <w:rsid w:val="00836BDD"/>
    <w:rsid w:val="008459BD"/>
    <w:rsid w:val="00846FE5"/>
    <w:rsid w:val="00883E89"/>
    <w:rsid w:val="008873DB"/>
    <w:rsid w:val="008B7BCD"/>
    <w:rsid w:val="008E0D69"/>
    <w:rsid w:val="008E46D2"/>
    <w:rsid w:val="008E6E72"/>
    <w:rsid w:val="0090530D"/>
    <w:rsid w:val="0095621B"/>
    <w:rsid w:val="00962D91"/>
    <w:rsid w:val="00971F85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B13510"/>
    <w:rsid w:val="00B45346"/>
    <w:rsid w:val="00B46189"/>
    <w:rsid w:val="00B53D51"/>
    <w:rsid w:val="00B54EE9"/>
    <w:rsid w:val="00B63304"/>
    <w:rsid w:val="00B716A3"/>
    <w:rsid w:val="00B80302"/>
    <w:rsid w:val="00B92A84"/>
    <w:rsid w:val="00BA4543"/>
    <w:rsid w:val="00BB7510"/>
    <w:rsid w:val="00BD0830"/>
    <w:rsid w:val="00BD165C"/>
    <w:rsid w:val="00BD7C30"/>
    <w:rsid w:val="00BE5383"/>
    <w:rsid w:val="00BE6040"/>
    <w:rsid w:val="00C007B7"/>
    <w:rsid w:val="00C03A13"/>
    <w:rsid w:val="00C20A99"/>
    <w:rsid w:val="00C32D7C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C1CEA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072D"/>
    <w:rsid w:val="00E17F6D"/>
    <w:rsid w:val="00E20B8C"/>
    <w:rsid w:val="00E2164A"/>
    <w:rsid w:val="00E32DCE"/>
    <w:rsid w:val="00E57DD3"/>
    <w:rsid w:val="00E73B0A"/>
    <w:rsid w:val="00E82AEA"/>
    <w:rsid w:val="00EA00CA"/>
    <w:rsid w:val="00EA202A"/>
    <w:rsid w:val="00EB66A2"/>
    <w:rsid w:val="00EE3468"/>
    <w:rsid w:val="00F01ABC"/>
    <w:rsid w:val="00F1717E"/>
    <w:rsid w:val="00F20541"/>
    <w:rsid w:val="00F2345E"/>
    <w:rsid w:val="00F3657D"/>
    <w:rsid w:val="00F44C76"/>
    <w:rsid w:val="00F928BB"/>
    <w:rsid w:val="00F95DA9"/>
    <w:rsid w:val="00FA07B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5</cp:revision>
  <cp:lastPrinted>2020-01-15T22:49:00Z</cp:lastPrinted>
  <dcterms:created xsi:type="dcterms:W3CDTF">2020-03-05T17:51:00Z</dcterms:created>
  <dcterms:modified xsi:type="dcterms:W3CDTF">2020-03-11T17:52:00Z</dcterms:modified>
</cp:coreProperties>
</file>