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8E" w:rsidRDefault="002D068E" w:rsidP="00DB1DC8">
      <w:pPr>
        <w:spacing w:after="0"/>
        <w:jc w:val="center"/>
        <w:rPr>
          <w:b/>
        </w:rPr>
      </w:pPr>
      <w:r w:rsidRPr="002D068E">
        <w:rPr>
          <w:b/>
        </w:rPr>
        <w:t>Notes on Writing a Self-Study for Accreditation</w:t>
      </w:r>
    </w:p>
    <w:p w:rsidR="002D068E" w:rsidRDefault="002D068E" w:rsidP="002D068E">
      <w:pPr>
        <w:pStyle w:val="ListParagraph"/>
        <w:ind w:left="360"/>
      </w:pPr>
    </w:p>
    <w:p w:rsidR="00DB1DC8" w:rsidRDefault="00DB1DC8" w:rsidP="002D068E">
      <w:pPr>
        <w:pStyle w:val="ListParagraph"/>
        <w:ind w:left="360"/>
      </w:pPr>
    </w:p>
    <w:p w:rsidR="001765BA" w:rsidRDefault="00DF0A73" w:rsidP="000C55BD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 xml:space="preserve">When writing a self-study report for your accrediting body, it is imperative that the narrative </w:t>
      </w:r>
      <w:r w:rsidR="007C3F84">
        <w:t>address</w:t>
      </w:r>
      <w:r w:rsidR="001765BA">
        <w:t xml:space="preserve"> each and every component of </w:t>
      </w:r>
      <w:r w:rsidR="007C3F84">
        <w:t>every</w:t>
      </w:r>
      <w:r w:rsidR="001765BA">
        <w:t xml:space="preserve"> standard</w:t>
      </w:r>
      <w:r w:rsidR="0076176D">
        <w:t xml:space="preserve">. The sole exception is when the accrediting body’s guidelines explicitly state that </w:t>
      </w:r>
      <w:r>
        <w:t xml:space="preserve">a section is only applicable to certain kinds of programs, in </w:t>
      </w:r>
      <w:r w:rsidR="00417B43">
        <w:t>which case you may write “N/A” in response to that component</w:t>
      </w:r>
      <w:r w:rsidR="0076176D">
        <w:t xml:space="preserve"> of it’s not applicable to yours</w:t>
      </w:r>
      <w:r w:rsidR="000C55BD">
        <w:t>.</w:t>
      </w:r>
      <w:r w:rsidR="00417B43">
        <w:t xml:space="preserve"> </w:t>
      </w:r>
      <w:r w:rsidR="000C55BD">
        <w:t>W</w:t>
      </w:r>
      <w:r w:rsidR="00417B43">
        <w:t xml:space="preserve">hen drafting the </w:t>
      </w:r>
      <w:r w:rsidR="0076176D">
        <w:t>text to address a given standard</w:t>
      </w:r>
      <w:r w:rsidR="000C55BD">
        <w:t>, you are advised to</w:t>
      </w:r>
      <w:r w:rsidR="00417B43">
        <w:t xml:space="preserve"> u</w:t>
      </w:r>
      <w:r w:rsidR="007C3F84">
        <w:t xml:space="preserve">nderline each distinct element of </w:t>
      </w:r>
      <w:r w:rsidR="0076176D">
        <w:t>the</w:t>
      </w:r>
      <w:r w:rsidR="007C3F84">
        <w:t xml:space="preserve"> standard</w:t>
      </w:r>
      <w:r w:rsidR="00417B43">
        <w:t>.</w:t>
      </w:r>
      <w:r w:rsidR="007C3F84">
        <w:t xml:space="preserve"> </w:t>
      </w:r>
      <w:r w:rsidR="00417B43">
        <w:t xml:space="preserve">Then </w:t>
      </w:r>
      <w:r w:rsidR="0076176D">
        <w:t xml:space="preserve">you should </w:t>
      </w:r>
      <w:r w:rsidR="00417B43">
        <w:t xml:space="preserve">craft </w:t>
      </w:r>
      <w:r w:rsidR="007C3F84">
        <w:t xml:space="preserve">an evidence-supported narrative </w:t>
      </w:r>
      <w:r w:rsidR="0076176D">
        <w:t xml:space="preserve">for each element </w:t>
      </w:r>
      <w:r w:rsidR="007C3F84">
        <w:t>that demonstrates that your program meets or exceeds that element.</w:t>
      </w:r>
      <w:r w:rsidR="008D63EC">
        <w:t xml:space="preserve"> If your program doesn’t</w:t>
      </w:r>
      <w:r w:rsidR="0076176D">
        <w:t xml:space="preserve"> meet that part of the standard</w:t>
      </w:r>
      <w:r w:rsidR="008D63EC">
        <w:t>, state precisely what your program plans to do</w:t>
      </w:r>
      <w:r w:rsidR="0076176D">
        <w:t xml:space="preserve"> to come into conformity with that component</w:t>
      </w:r>
      <w:r w:rsidR="008D63EC">
        <w:t xml:space="preserve"> of the</w:t>
      </w:r>
      <w:r w:rsidR="0076176D">
        <w:t xml:space="preserve"> standard in the near future.</w:t>
      </w:r>
    </w:p>
    <w:p w:rsidR="00417B43" w:rsidRDefault="007C3F84" w:rsidP="00CD32E0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>The</w:t>
      </w:r>
      <w:r w:rsidR="001765BA">
        <w:t xml:space="preserve"> narrative </w:t>
      </w:r>
      <w:r>
        <w:t xml:space="preserve">should have </w:t>
      </w:r>
      <w:r w:rsidR="001765BA">
        <w:t>headings and subheadings that make perfectly clear</w:t>
      </w:r>
      <w:r>
        <w:t xml:space="preserve"> to the reader</w:t>
      </w:r>
      <w:r w:rsidR="001765BA">
        <w:t xml:space="preserve"> which component of the standard</w:t>
      </w:r>
      <w:r w:rsidR="00417B43">
        <w:t xml:space="preserve"> the </w:t>
      </w:r>
      <w:r w:rsidR="00516C30">
        <w:t xml:space="preserve">subsequent </w:t>
      </w:r>
      <w:r w:rsidR="00417B43">
        <w:t>text</w:t>
      </w:r>
      <w:r w:rsidR="001765BA">
        <w:t xml:space="preserve"> is address</w:t>
      </w:r>
      <w:r w:rsidR="00417B43">
        <w:t>ing.</w:t>
      </w:r>
      <w:r w:rsidR="008D63EC">
        <w:t xml:space="preserve"> As a general rule, it’s a good practice to</w:t>
      </w:r>
      <w:r w:rsidR="00417B43">
        <w:t xml:space="preserve"> use the headings and enumeration that the accrediting body provides in their guidelines—typically, their </w:t>
      </w:r>
      <w:r w:rsidR="008D63EC">
        <w:t xml:space="preserve">numbered </w:t>
      </w:r>
      <w:r w:rsidR="00417B43">
        <w:t>standards for accreditation</w:t>
      </w:r>
      <w:r w:rsidR="00CD32E0">
        <w:t>—</w:t>
      </w:r>
      <w:r w:rsidR="00417B43">
        <w:t>in the body of your narrative. You should feel free to add extra subheadings when you have a response with multiple components. The key is to make the reader’s job easy!</w:t>
      </w:r>
    </w:p>
    <w:p w:rsidR="001765BA" w:rsidRDefault="007C3F84" w:rsidP="0076176D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>Start each “answer”</w:t>
      </w:r>
      <w:r w:rsidR="00CD32E0">
        <w:t xml:space="preserve"> (i.e., narrative and sub-narrative)</w:t>
      </w:r>
      <w:r>
        <w:t xml:space="preserve"> by incorp</w:t>
      </w:r>
      <w:r w:rsidR="00CD32E0">
        <w:t xml:space="preserve">orating the question into your first sentence. </w:t>
      </w:r>
      <w:r>
        <w:t>For example, in response to the question “What is your process for assessing mission fulfillment</w:t>
      </w:r>
      <w:r w:rsidR="00417B43">
        <w:t>?</w:t>
      </w:r>
      <w:r>
        <w:t xml:space="preserve">” you should </w:t>
      </w:r>
      <w:r w:rsidR="00417B43">
        <w:t xml:space="preserve">have a heading (or subheading) called </w:t>
      </w:r>
      <w:r w:rsidR="00CD32E0">
        <w:t>something like “</w:t>
      </w:r>
      <w:r w:rsidR="00417B43">
        <w:t>Mission Fulfillment</w:t>
      </w:r>
      <w:r w:rsidR="00CD32E0">
        <w:t>”</w:t>
      </w:r>
      <w:r w:rsidR="00417B43">
        <w:t xml:space="preserve"> </w:t>
      </w:r>
      <w:r w:rsidR="00CD32E0">
        <w:t xml:space="preserve">or “Assessing the Program’s Mission” </w:t>
      </w:r>
      <w:r w:rsidR="00417B43">
        <w:t>under which you</w:t>
      </w:r>
      <w:r w:rsidR="00CD32E0">
        <w:t xml:space="preserve"> would</w:t>
      </w:r>
      <w:r w:rsidR="00417B43">
        <w:t xml:space="preserve"> </w:t>
      </w:r>
      <w:r w:rsidR="003E0C41">
        <w:t xml:space="preserve">start the narrative with a sentence </w:t>
      </w:r>
      <w:r w:rsidR="00CD32E0">
        <w:t>such as</w:t>
      </w:r>
      <w:r>
        <w:t>, “</w:t>
      </w:r>
      <w:r w:rsidR="00417B43">
        <w:t xml:space="preserve">EWU’s X program uses a three-step </w:t>
      </w:r>
      <w:r>
        <w:t xml:space="preserve">process to assess </w:t>
      </w:r>
      <w:r w:rsidR="00417B43">
        <w:t xml:space="preserve">its </w:t>
      </w:r>
      <w:r>
        <w:t>mission fulfillment</w:t>
      </w:r>
      <w:r w:rsidR="00CD32E0">
        <w:t>,</w:t>
      </w:r>
      <w:r w:rsidR="00417B43">
        <w:t>”</w:t>
      </w:r>
      <w:r w:rsidR="00CD32E0">
        <w:t xml:space="preserve"> or “The following describes the process X program uses to assess whether it is fulfilling its mission.”</w:t>
      </w:r>
      <w:r>
        <w:t xml:space="preserve"> </w:t>
      </w:r>
    </w:p>
    <w:p w:rsidR="001765BA" w:rsidRDefault="00417B43" w:rsidP="0076176D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 xml:space="preserve">Provide </w:t>
      </w:r>
      <w:r w:rsidR="001765BA">
        <w:t xml:space="preserve">evidence for all statements of fact. </w:t>
      </w:r>
      <w:r w:rsidR="003E0C41">
        <w:t xml:space="preserve">This is key! </w:t>
      </w:r>
      <w:r w:rsidR="002335CE">
        <w:t xml:space="preserve">If the report puts forth an assertion (e.g., </w:t>
      </w:r>
      <w:r w:rsidR="001765BA">
        <w:t>“Our faculty value</w:t>
      </w:r>
      <w:r w:rsidR="003E0C41">
        <w:t>s</w:t>
      </w:r>
      <w:r w:rsidR="001765BA">
        <w:t xml:space="preserve"> diversity,” “Our program is committed to excellence,” “Our program meets the criteria for Standard X”)</w:t>
      </w:r>
      <w:r w:rsidR="002335CE">
        <w:t xml:space="preserve">, </w:t>
      </w:r>
      <w:r w:rsidR="003E0C41">
        <w:t>e</w:t>
      </w:r>
      <w:r w:rsidR="002335CE">
        <w:t>vidence</w:t>
      </w:r>
      <w:r w:rsidR="003E0C41">
        <w:t xml:space="preserve"> is needed to support the claim.</w:t>
      </w:r>
      <w:r w:rsidR="002335CE">
        <w:t xml:space="preserve"> </w:t>
      </w:r>
    </w:p>
    <w:p w:rsidR="001765BA" w:rsidRDefault="003E0C41" w:rsidP="007617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Please note that evidence can take the form </w:t>
      </w:r>
      <w:r w:rsidR="002335CE">
        <w:t xml:space="preserve">of </w:t>
      </w:r>
      <w:r>
        <w:t xml:space="preserve">any type of </w:t>
      </w:r>
      <w:r w:rsidR="002335CE">
        <w:t>archived text, including (but not limited to)</w:t>
      </w:r>
      <w:r w:rsidR="001765BA">
        <w:t xml:space="preserve"> </w:t>
      </w:r>
      <w:r w:rsidR="002335CE">
        <w:t>minutes of meetings, excerpts from</w:t>
      </w:r>
      <w:r w:rsidR="001765BA">
        <w:t xml:space="preserve"> the catalog, syllabi, student work, CVs, </w:t>
      </w:r>
      <w:r w:rsidR="002335CE">
        <w:t xml:space="preserve">text from the EWU website, a screenshot of the website, </w:t>
      </w:r>
      <w:r w:rsidR="00CD32E0">
        <w:t>a rubric</w:t>
      </w:r>
      <w:r w:rsidR="002335CE">
        <w:t>, me</w:t>
      </w:r>
      <w:r w:rsidR="00CD32E0">
        <w:t>moranda of understanding (MOUs).</w:t>
      </w:r>
      <w:r w:rsidR="002335CE">
        <w:t xml:space="preserve"> </w:t>
      </w:r>
      <w:r w:rsidR="00CD32E0">
        <w:t>It can also be numbers</w:t>
      </w:r>
      <w:r w:rsidR="00325604">
        <w:t xml:space="preserve"> (e.g.,</w:t>
      </w:r>
      <w:r w:rsidR="002335CE">
        <w:t xml:space="preserve"> </w:t>
      </w:r>
      <w:r w:rsidR="00CD32E0">
        <w:t xml:space="preserve">pass rates on </w:t>
      </w:r>
      <w:r w:rsidR="00325604">
        <w:t xml:space="preserve">a licensing exam, students’ scores on a nationally normed major field test, the average score on an item from a student survey, data </w:t>
      </w:r>
      <w:r w:rsidR="002335CE">
        <w:t>gathered by EWU’s Office of Inst</w:t>
      </w:r>
      <w:r w:rsidR="00325604">
        <w:t>itutional Research, statistics from</w:t>
      </w:r>
      <w:r w:rsidR="002335CE">
        <w:t xml:space="preserve"> the National Center of Education Statistics)</w:t>
      </w:r>
      <w:r>
        <w:t>.</w:t>
      </w:r>
    </w:p>
    <w:p w:rsidR="007C3F84" w:rsidRDefault="007C3F84" w:rsidP="007617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Ideally, the evidence (when textual) is hyperlinked to the narrative so that readers can </w:t>
      </w:r>
      <w:r w:rsidR="003E0C41">
        <w:t>easily</w:t>
      </w:r>
      <w:r>
        <w:t xml:space="preserve"> review </w:t>
      </w:r>
      <w:r w:rsidR="003E0C41">
        <w:t>it at the moment that</w:t>
      </w:r>
      <w:r>
        <w:t xml:space="preserve"> </w:t>
      </w:r>
      <w:r w:rsidR="00325604">
        <w:t xml:space="preserve">the text references </w:t>
      </w:r>
      <w:r>
        <w:t>the evidence. Accrediting bodies tend to have specific rules regarding the use of hyperlinks, however. Some like them; others don’t. Be sure to follow your body’s style guidelines.</w:t>
      </w:r>
    </w:p>
    <w:p w:rsidR="0089317F" w:rsidRDefault="00487194" w:rsidP="0089317F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 xml:space="preserve">Acknowledge your program’s weaknesses (although don’t go overboard!) and do so in a straightforward, non-defensive tone. </w:t>
      </w:r>
      <w:r w:rsidR="00325604">
        <w:t>After you report a shortcoming</w:t>
      </w:r>
      <w:r>
        <w:t xml:space="preserve">, tell the reviewers what you </w:t>
      </w:r>
      <w:r>
        <w:lastRenderedPageBreak/>
        <w:t xml:space="preserve">plan to do to address </w:t>
      </w:r>
      <w:r w:rsidR="00325604">
        <w:t>it</w:t>
      </w:r>
      <w:r>
        <w:t xml:space="preserve">. </w:t>
      </w:r>
      <w:r w:rsidR="0089317F">
        <w:t xml:space="preserve">Reviewers know that all programs have shortcomings. They will </w:t>
      </w:r>
      <w:r>
        <w:t xml:space="preserve">want to </w:t>
      </w:r>
      <w:r w:rsidR="00325604">
        <w:t>know</w:t>
      </w:r>
      <w:r>
        <w:t xml:space="preserve"> that you are aware of </w:t>
      </w:r>
      <w:r w:rsidR="0089317F">
        <w:t>those of your program</w:t>
      </w:r>
      <w:r>
        <w:t xml:space="preserve">, </w:t>
      </w:r>
      <w:r w:rsidR="0089317F">
        <w:t>are transparent enough to share them with the reviewers</w:t>
      </w:r>
      <w:r>
        <w:t xml:space="preserve">, and have a sensible </w:t>
      </w:r>
      <w:r w:rsidR="0089317F">
        <w:t xml:space="preserve">plan in place to </w:t>
      </w:r>
      <w:r w:rsidR="00C23935">
        <w:t>rectify</w:t>
      </w:r>
      <w:r w:rsidR="0089317F">
        <w:t xml:space="preserve"> them. If your program has a “fatal flaw,” however, it’s likely better not to continue with the accreditation or re-accreditation process until you have addressed it sufficiently. </w:t>
      </w:r>
    </w:p>
    <w:p w:rsidR="00963FA6" w:rsidRDefault="00ED4E89" w:rsidP="0076176D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</w:pPr>
      <w:r>
        <w:t>Here are some rules of thumb to follow with regard to the assessment section of your self</w:t>
      </w:r>
      <w:r w:rsidR="00C23935">
        <w:t>-</w:t>
      </w:r>
      <w:r>
        <w:t>study:</w:t>
      </w:r>
      <w:r w:rsidR="00C23935">
        <w:t xml:space="preserve"> report</w:t>
      </w:r>
    </w:p>
    <w:p w:rsidR="00ED4E89" w:rsidRDefault="00ED4E89" w:rsidP="007617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data collected need to logically derive from </w:t>
      </w:r>
      <w:r w:rsidR="00C23935">
        <w:t>each</w:t>
      </w:r>
      <w:r>
        <w:t xml:space="preserve"> student learning outcom</w:t>
      </w:r>
      <w:r w:rsidR="00C23935">
        <w:t xml:space="preserve">e. Metaphorically speaking, </w:t>
      </w:r>
      <w:r>
        <w:t>if you want to assess how fast your car can go, you should clock the car’s speed and not put the driver on a scale.</w:t>
      </w:r>
      <w:r w:rsidR="00C23935">
        <w:t xml:space="preserve"> Make sure that for each program learning outcome, you have used an appropriate “measuring” device. Contact Jill Kern, Dir. of Assessment &amp; Accreditation, if you have questions about this at assessment@ewu.edu.</w:t>
      </w:r>
    </w:p>
    <w:p w:rsidR="00C23935" w:rsidRDefault="00C23935" w:rsidP="0033125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Your assessment data should be based on faculty members’ evaluations of student work and/or students’ test scores. Your assessment should not be based on grades or students’ reports about how much they have learned. </w:t>
      </w:r>
    </w:p>
    <w:p w:rsidR="00ED4E89" w:rsidRDefault="00ED4E89" w:rsidP="0033125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Provide your program’s expectations—your targets—for how students should fare on each PLO</w:t>
      </w:r>
      <w:r w:rsidR="00C23935">
        <w:t xml:space="preserve"> (i.e., the expected average “score”). State which </w:t>
      </w:r>
      <w:r>
        <w:t xml:space="preserve">average score would indicate that students have met or exceeded faculty expectations for student learning; what average score would indicate that students have failed to meet faculty expectations; and what range of scores are in between satisfactory and unsatisfactory. </w:t>
      </w:r>
    </w:p>
    <w:p w:rsidR="00ED4E89" w:rsidRDefault="00ED4E89" w:rsidP="00CD32E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Put your data in tables. (See example below).</w:t>
      </w:r>
    </w:p>
    <w:p w:rsidR="00ED4E89" w:rsidRDefault="00ED4E89" w:rsidP="00CD32E0">
      <w:pPr>
        <w:pStyle w:val="ListParagraph"/>
        <w:numPr>
          <w:ilvl w:val="0"/>
          <w:numId w:val="1"/>
        </w:numPr>
        <w:spacing w:after="120" w:line="240" w:lineRule="auto"/>
        <w:ind w:left="1166"/>
        <w:contextualSpacing w:val="0"/>
      </w:pPr>
      <w:r>
        <w:t>Label the table with a straightforward title</w:t>
      </w:r>
      <w:r w:rsidR="00346171">
        <w:t>.</w:t>
      </w:r>
    </w:p>
    <w:p w:rsidR="00ED4E89" w:rsidRDefault="00ED4E89" w:rsidP="00CD32E0">
      <w:pPr>
        <w:pStyle w:val="ListParagraph"/>
        <w:numPr>
          <w:ilvl w:val="0"/>
          <w:numId w:val="1"/>
        </w:numPr>
        <w:spacing w:after="120" w:line="240" w:lineRule="auto"/>
        <w:ind w:left="1166"/>
        <w:contextualSpacing w:val="0"/>
      </w:pPr>
      <w:r>
        <w:t>Label the columns and rows</w:t>
      </w:r>
      <w:r w:rsidR="00346171">
        <w:t>.</w:t>
      </w:r>
    </w:p>
    <w:p w:rsidR="00ED4E89" w:rsidRDefault="00346171" w:rsidP="00CD32E0">
      <w:pPr>
        <w:pStyle w:val="ListParagraph"/>
        <w:numPr>
          <w:ilvl w:val="0"/>
          <w:numId w:val="1"/>
        </w:numPr>
        <w:spacing w:after="120" w:line="240" w:lineRule="auto"/>
        <w:ind w:left="1166"/>
        <w:contextualSpacing w:val="0"/>
      </w:pPr>
      <w:r>
        <w:t xml:space="preserve">Insert only one piece of data </w:t>
      </w:r>
      <w:r w:rsidR="00ED4E89">
        <w:t>per cell</w:t>
      </w:r>
      <w:r>
        <w:t>.</w:t>
      </w:r>
      <w:r w:rsidR="00ED4E89">
        <w:t xml:space="preserve"> </w:t>
      </w:r>
    </w:p>
    <w:p w:rsidR="00ED4E89" w:rsidRDefault="00ED4E89" w:rsidP="00CD32E0">
      <w:pPr>
        <w:pStyle w:val="ListParagraph"/>
        <w:numPr>
          <w:ilvl w:val="0"/>
          <w:numId w:val="1"/>
        </w:numPr>
        <w:spacing w:after="120" w:line="240" w:lineRule="auto"/>
        <w:ind w:left="1166"/>
        <w:contextualSpacing w:val="0"/>
      </w:pPr>
      <w:r>
        <w:t>Indicate</w:t>
      </w:r>
      <w:r w:rsidR="00346171">
        <w:t xml:space="preserve"> the</w:t>
      </w:r>
      <w:r>
        <w:t xml:space="preserve"> sample size (i.e., number of students whose work was assessed), and when the data were collected (</w:t>
      </w:r>
      <w:r w:rsidR="00346171">
        <w:t xml:space="preserve">i.e., </w:t>
      </w:r>
      <w:r>
        <w:t>the quarter and year</w:t>
      </w:r>
      <w:r w:rsidR="00346171">
        <w:t xml:space="preserve"> when the students produced the work that was assessed</w:t>
      </w:r>
      <w:r>
        <w:t>)</w:t>
      </w:r>
      <w:r w:rsidR="00346171">
        <w:t>.</w:t>
      </w:r>
    </w:p>
    <w:p w:rsidR="00ED4E89" w:rsidRDefault="00ED4E89" w:rsidP="0076176D">
      <w:pPr>
        <w:pStyle w:val="ListParagraph"/>
        <w:numPr>
          <w:ilvl w:val="0"/>
          <w:numId w:val="1"/>
        </w:numPr>
        <w:spacing w:after="120" w:line="240" w:lineRule="auto"/>
        <w:ind w:left="1170"/>
        <w:contextualSpacing w:val="0"/>
      </w:pPr>
      <w:r>
        <w:t xml:space="preserve">Indicate whether students have </w:t>
      </w:r>
      <w:r w:rsidR="00346171">
        <w:t xml:space="preserve">(a) </w:t>
      </w:r>
      <w:r>
        <w:t>achieved or exceeded expectations,</w:t>
      </w:r>
      <w:r w:rsidR="00346171">
        <w:t xml:space="preserve"> (b)</w:t>
      </w:r>
      <w:r>
        <w:t xml:space="preserve"> failed to achieve expectations, or </w:t>
      </w:r>
      <w:r w:rsidR="00346171">
        <w:t xml:space="preserve">(c) </w:t>
      </w:r>
      <w:r>
        <w:t>are in the gray zone.</w:t>
      </w:r>
    </w:p>
    <w:p w:rsidR="00ED4E89" w:rsidRDefault="00ED4E89" w:rsidP="00516C3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State what you have done or will do to improve student learning in those areas where expectations haven’t been met or are in the gray zone.</w:t>
      </w:r>
    </w:p>
    <w:p w:rsidR="00ED4E89" w:rsidRDefault="00ED4E89" w:rsidP="007617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State how, if at all, you plan to improve your assessment processes</w:t>
      </w:r>
      <w:r w:rsidR="00346171">
        <w:t>.</w:t>
      </w:r>
    </w:p>
    <w:p w:rsidR="008D63EC" w:rsidRDefault="008D63EC" w:rsidP="00516C30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>Painstakingly proofread the document.</w:t>
      </w:r>
    </w:p>
    <w:p w:rsidR="007C3F84" w:rsidRDefault="007C3F84" w:rsidP="00516C3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Check to make sure that the text is consistent, particularly when it comes to numbers</w:t>
      </w:r>
      <w:r w:rsidR="004A1534">
        <w:t xml:space="preserve">. Inconsistency in the reporting of numbers is a very common mistake. </w:t>
      </w:r>
      <w:r w:rsidR="00C65A6E">
        <w:t xml:space="preserve">You should, therefore, go over them with a fine-toothed comb. </w:t>
      </w:r>
      <w:r w:rsidR="004A1534">
        <w:t>S</w:t>
      </w:r>
      <w:r w:rsidR="00C65A6E">
        <w:t>o, for example, be sure that the document</w:t>
      </w:r>
      <w:r w:rsidR="004A1534">
        <w:t xml:space="preserve"> doesn’t</w:t>
      </w:r>
      <w:r w:rsidR="00C65A6E">
        <w:t xml:space="preserve"> </w:t>
      </w:r>
      <w:r>
        <w:t>describe the program as a two-year</w:t>
      </w:r>
      <w:r w:rsidR="00C65A6E">
        <w:t xml:space="preserve"> degree and then </w:t>
      </w:r>
      <w:r>
        <w:t xml:space="preserve">present a table that shows it takes three </w:t>
      </w:r>
      <w:r>
        <w:lastRenderedPageBreak/>
        <w:t>years to complete</w:t>
      </w:r>
      <w:r w:rsidR="004A1534">
        <w:t xml:space="preserve">. </w:t>
      </w:r>
      <w:r w:rsidR="00C65A6E">
        <w:t xml:space="preserve">Or, for instance, check that one narrative </w:t>
      </w:r>
      <w:r w:rsidR="004A1534">
        <w:t xml:space="preserve">doesn’t </w:t>
      </w:r>
      <w:r w:rsidR="00C65A6E">
        <w:t xml:space="preserve">report </w:t>
      </w:r>
      <w:r w:rsidR="004A1534">
        <w:t xml:space="preserve">that the 2015 entering class had 12 students </w:t>
      </w:r>
      <w:r w:rsidR="00C65A6E">
        <w:t>while another states it</w:t>
      </w:r>
      <w:r w:rsidR="004A1534">
        <w:t xml:space="preserve"> had 14 students</w:t>
      </w:r>
      <w:r>
        <w:t xml:space="preserve">. </w:t>
      </w:r>
    </w:p>
    <w:p w:rsidR="008D63EC" w:rsidRDefault="008D63EC" w:rsidP="00516C3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Check to make sure</w:t>
      </w:r>
      <w:r w:rsidR="00C65A6E">
        <w:t xml:space="preserve"> that</w:t>
      </w:r>
      <w:r>
        <w:t xml:space="preserve"> all hyperlinks work, all tables in the document are professional-looking, and all figures are legible.</w:t>
      </w:r>
    </w:p>
    <w:p w:rsidR="008D63EC" w:rsidRDefault="008D63EC" w:rsidP="00516C3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Check to make sure that references to appendices or other attachments in the body of the </w:t>
      </w:r>
      <w:bookmarkStart w:id="0" w:name="_GoBack"/>
      <w:bookmarkEnd w:id="0"/>
      <w:r>
        <w:t>document accurately refer to the name of the appendix/attachment. For example, if you say, “See Appendix C for a sample syllabus,” be sure that the sample syllabus appears in Appendix C.</w:t>
      </w:r>
    </w:p>
    <w:p w:rsidR="00C65A6E" w:rsidRPr="00DB1DC8" w:rsidRDefault="008D63EC" w:rsidP="007B39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t xml:space="preserve">The </w:t>
      </w:r>
      <w:r w:rsidR="001765BA">
        <w:t>grammar and punctuation</w:t>
      </w:r>
      <w:r>
        <w:t xml:space="preserve"> (including capitalization) need to be </w:t>
      </w:r>
      <w:r w:rsidR="001765BA">
        <w:t>impeccable</w:t>
      </w:r>
      <w:r>
        <w:t>.</w:t>
      </w:r>
    </w:p>
    <w:p w:rsidR="00C65A6E" w:rsidRDefault="00C65A6E" w:rsidP="00C65A6E">
      <w:pPr>
        <w:pStyle w:val="ListParagraph"/>
        <w:spacing w:after="120" w:line="240" w:lineRule="auto"/>
        <w:contextualSpacing w:val="0"/>
      </w:pPr>
    </w:p>
    <w:p w:rsidR="00C65A6E" w:rsidRDefault="00C65A6E" w:rsidP="00C65A6E">
      <w:pPr>
        <w:pStyle w:val="ListParagraph"/>
        <w:spacing w:after="120" w:line="240" w:lineRule="auto"/>
        <w:contextualSpacing w:val="0"/>
      </w:pPr>
    </w:p>
    <w:p w:rsidR="00C65A6E" w:rsidRPr="00C65A6E" w:rsidRDefault="00C65A6E" w:rsidP="00C65A6E">
      <w:pPr>
        <w:pStyle w:val="ListParagraph"/>
        <w:spacing w:after="120" w:line="240" w:lineRule="auto"/>
        <w:contextualSpacing w:val="0"/>
        <w:rPr>
          <w:b/>
        </w:rPr>
      </w:pPr>
    </w:p>
    <w:p w:rsidR="008D3704" w:rsidRPr="00C65A6E" w:rsidRDefault="008D3704" w:rsidP="00C65A6E">
      <w:pPr>
        <w:pStyle w:val="ListParagraph"/>
        <w:spacing w:after="120" w:line="240" w:lineRule="auto"/>
        <w:ind w:left="0"/>
        <w:contextualSpacing w:val="0"/>
        <w:jc w:val="center"/>
        <w:rPr>
          <w:b/>
        </w:rPr>
      </w:pPr>
      <w:r w:rsidRPr="00C65A6E">
        <w:rPr>
          <w:b/>
        </w:rPr>
        <w:t>Sample Assessment Table</w:t>
      </w:r>
    </w:p>
    <w:tbl>
      <w:tblPr>
        <w:tblW w:w="9980" w:type="dxa"/>
        <w:jc w:val="center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720"/>
        <w:gridCol w:w="810"/>
        <w:gridCol w:w="810"/>
        <w:gridCol w:w="1170"/>
        <w:gridCol w:w="810"/>
        <w:gridCol w:w="900"/>
        <w:gridCol w:w="1080"/>
        <w:gridCol w:w="810"/>
        <w:gridCol w:w="810"/>
        <w:gridCol w:w="1170"/>
      </w:tblGrid>
      <w:tr w:rsidR="008D3704" w:rsidRPr="00336176" w:rsidTr="00ED0488">
        <w:trPr>
          <w:trHeight w:val="424"/>
          <w:jc w:val="center"/>
        </w:trPr>
        <w:tc>
          <w:tcPr>
            <w:tcW w:w="9980" w:type="dxa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 w:rsidRPr="00336176">
              <w:rPr>
                <w:b/>
                <w:bCs/>
              </w:rPr>
              <w:t>English BA Program</w:t>
            </w:r>
          </w:p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  <w:bCs/>
              </w:rPr>
              <w:t>PLO Assessment Results</w:t>
            </w:r>
          </w:p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rPr>
                <w:b/>
                <w:bCs/>
              </w:rPr>
              <w:t>(2019-22)</w:t>
            </w:r>
          </w:p>
        </w:tc>
      </w:tr>
      <w:tr w:rsidR="008D3704" w:rsidRPr="00336176" w:rsidTr="00ED0488">
        <w:trPr>
          <w:trHeight w:val="424"/>
          <w:jc w:val="center"/>
        </w:trPr>
        <w:tc>
          <w:tcPr>
            <w:tcW w:w="1610" w:type="dxa"/>
            <w:gridSpan w:val="2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279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  <w:rPr>
                <w:b/>
              </w:rPr>
            </w:pPr>
            <w:r w:rsidRPr="00336176">
              <w:rPr>
                <w:b/>
              </w:rPr>
              <w:t>2019-20</w:t>
            </w:r>
          </w:p>
        </w:tc>
        <w:tc>
          <w:tcPr>
            <w:tcW w:w="279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  <w:rPr>
                <w:b/>
              </w:rPr>
            </w:pPr>
            <w:r w:rsidRPr="00336176">
              <w:rPr>
                <w:b/>
              </w:rPr>
              <w:t>2020-21</w:t>
            </w:r>
          </w:p>
        </w:tc>
        <w:tc>
          <w:tcPr>
            <w:tcW w:w="279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  <w:rPr>
                <w:b/>
              </w:rPr>
            </w:pPr>
            <w:r w:rsidRPr="00336176">
              <w:rPr>
                <w:b/>
              </w:rPr>
              <w:t>2021-22</w:t>
            </w:r>
          </w:p>
        </w:tc>
      </w:tr>
      <w:tr w:rsidR="008D3704" w:rsidRPr="00336176" w:rsidTr="00ED0488">
        <w:trPr>
          <w:trHeight w:val="57"/>
          <w:jc w:val="center"/>
        </w:trPr>
        <w:tc>
          <w:tcPr>
            <w:tcW w:w="1610" w:type="dxa"/>
            <w:gridSpan w:val="2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Mean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Target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# Students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Mean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Target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# Students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Mean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Target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  <w:rPr>
                <w:b/>
              </w:rPr>
            </w:pPr>
            <w:r w:rsidRPr="00336176">
              <w:rPr>
                <w:b/>
              </w:rPr>
              <w:t># Students</w:t>
            </w:r>
          </w:p>
        </w:tc>
      </w:tr>
      <w:tr w:rsidR="008D3704" w:rsidRPr="00336176" w:rsidTr="00ED0488">
        <w:trPr>
          <w:trHeight w:val="298"/>
          <w:jc w:val="center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PLO-1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Out of 100%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91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103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88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08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117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93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</w:pPr>
            <w:r w:rsidRPr="00336176">
              <w:t>110</w:t>
            </w:r>
          </w:p>
        </w:tc>
      </w:tr>
      <w:tr w:rsidR="008D3704" w:rsidRPr="00336176" w:rsidTr="00ED0488">
        <w:trPr>
          <w:trHeight w:val="45"/>
          <w:jc w:val="center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PLO-2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83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~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87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080" w:type="dxa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91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</w:tr>
      <w:tr w:rsidR="008D3704" w:rsidRPr="00336176" w:rsidTr="00EC6733">
        <w:trPr>
          <w:trHeight w:val="45"/>
          <w:jc w:val="center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PLO-3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77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EC6733" w:rsidP="00ED0488">
            <w:pPr>
              <w:spacing w:after="0" w:line="240" w:lineRule="auto"/>
              <w:jc w:val="center"/>
            </w:pPr>
            <w:r>
              <w:softHyphen/>
            </w:r>
            <w:r>
              <w:softHyphen/>
            </w:r>
            <w:r>
              <w:softHyphen/>
              <w:t>–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85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73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EC6733" w:rsidP="00ED0488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</w:tr>
      <w:tr w:rsidR="008D3704" w:rsidRPr="00336176" w:rsidTr="00EC6733">
        <w:trPr>
          <w:trHeight w:val="55"/>
          <w:jc w:val="center"/>
        </w:trPr>
        <w:tc>
          <w:tcPr>
            <w:tcW w:w="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PLO-3</w:t>
            </w:r>
          </w:p>
        </w:tc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Assessed on a 5-point rubric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2.75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~</w:t>
            </w: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30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2.30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EC6733" w:rsidP="00ED0488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10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33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2.11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EC6733" w:rsidP="00ED0488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jc w:val="center"/>
            </w:pPr>
            <w:r w:rsidRPr="00336176">
              <w:t>30</w:t>
            </w:r>
          </w:p>
        </w:tc>
      </w:tr>
      <w:tr w:rsidR="008D3704" w:rsidRPr="00336176" w:rsidTr="00BD1AE2">
        <w:trPr>
          <w:trHeight w:val="55"/>
          <w:jc w:val="center"/>
        </w:trPr>
        <w:tc>
          <w:tcPr>
            <w:tcW w:w="890" w:type="dxa"/>
            <w:tcBorders>
              <w:top w:val="single" w:sz="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PLO-4</w:t>
            </w:r>
          </w:p>
        </w:tc>
        <w:tc>
          <w:tcPr>
            <w:tcW w:w="720" w:type="dxa"/>
            <w:vMerge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1.90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EC6733" w:rsidP="00ED0488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1170" w:type="dxa"/>
            <w:vMerge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BD1AE2">
            <w:pPr>
              <w:spacing w:after="0" w:line="240" w:lineRule="auto"/>
              <w:jc w:val="center"/>
            </w:pPr>
            <w:r>
              <w:t>~</w:t>
            </w:r>
          </w:p>
        </w:tc>
        <w:tc>
          <w:tcPr>
            <w:tcW w:w="1080" w:type="dxa"/>
            <w:vMerge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70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</w:tr>
      <w:tr w:rsidR="008D3704" w:rsidRPr="00336176" w:rsidTr="00ED0488">
        <w:trPr>
          <w:trHeight w:val="55"/>
          <w:jc w:val="center"/>
        </w:trPr>
        <w:tc>
          <w:tcPr>
            <w:tcW w:w="890" w:type="dxa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PLO-5</w:t>
            </w:r>
          </w:p>
        </w:tc>
        <w:tc>
          <w:tcPr>
            <w:tcW w:w="7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3.95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1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2.45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~</w:t>
            </w:r>
          </w:p>
        </w:tc>
        <w:tc>
          <w:tcPr>
            <w:tcW w:w="10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2.89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~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8D3704" w:rsidRPr="00336176" w:rsidRDefault="008D3704" w:rsidP="00ED0488">
            <w:pPr>
              <w:jc w:val="center"/>
            </w:pPr>
          </w:p>
        </w:tc>
      </w:tr>
      <w:tr w:rsidR="008D3704" w:rsidRPr="00336176" w:rsidTr="00ED0488">
        <w:trPr>
          <w:trHeight w:val="280"/>
          <w:jc w:val="center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PLO-6</w:t>
            </w:r>
          </w:p>
        </w:tc>
        <w:tc>
          <w:tcPr>
            <w:tcW w:w="7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3.03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~</w:t>
            </w:r>
          </w:p>
        </w:tc>
        <w:tc>
          <w:tcPr>
            <w:tcW w:w="11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4.12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08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4.25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4" w:rsidRPr="00336176" w:rsidRDefault="008D3704" w:rsidP="00ED0488">
            <w:pPr>
              <w:spacing w:after="0" w:line="240" w:lineRule="auto"/>
              <w:jc w:val="center"/>
            </w:pPr>
            <w:r w:rsidRPr="00336176">
              <w:t>+</w:t>
            </w: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8D3704" w:rsidRPr="00336176" w:rsidRDefault="008D3704" w:rsidP="00ED0488">
            <w:pPr>
              <w:jc w:val="center"/>
            </w:pPr>
          </w:p>
        </w:tc>
      </w:tr>
    </w:tbl>
    <w:p w:rsidR="008D3704" w:rsidRDefault="008D3704" w:rsidP="008D3704">
      <w:pPr>
        <w:ind w:left="270"/>
        <w:rPr>
          <w:sz w:val="20"/>
          <w:szCs w:val="20"/>
        </w:rPr>
      </w:pPr>
      <w:r w:rsidRPr="00326CBB">
        <w:rPr>
          <w:sz w:val="20"/>
          <w:szCs w:val="20"/>
          <w:u w:val="single"/>
        </w:rPr>
        <w:t>Note</w:t>
      </w:r>
      <w:r w:rsidRPr="00326CBB">
        <w:rPr>
          <w:sz w:val="20"/>
          <w:szCs w:val="20"/>
        </w:rPr>
        <w:t xml:space="preserve">: + = Met or exceeded target; ~ = Needs improvement; </w:t>
      </w:r>
      <w:r w:rsidR="00EC6733">
        <w:t>–</w:t>
      </w:r>
      <w:r w:rsidRPr="00326CBB">
        <w:rPr>
          <w:sz w:val="20"/>
          <w:szCs w:val="20"/>
        </w:rPr>
        <w:t xml:space="preserve"> = Below target</w:t>
      </w:r>
    </w:p>
    <w:p w:rsidR="008D3704" w:rsidRPr="00072301" w:rsidRDefault="008D3704" w:rsidP="008D3704">
      <w:pPr>
        <w:spacing w:after="0" w:line="240" w:lineRule="auto"/>
        <w:ind w:left="270"/>
        <w:rPr>
          <w:bCs/>
        </w:rPr>
      </w:pPr>
      <w:r w:rsidRPr="00072301">
        <w:rPr>
          <w:bCs/>
        </w:rPr>
        <w:t>Students who earn a BA degree in English at EWU will be able to do the following</w:t>
      </w:r>
      <w:r>
        <w:rPr>
          <w:bCs/>
        </w:rPr>
        <w:t>:</w:t>
      </w:r>
    </w:p>
    <w:p w:rsidR="008D3704" w:rsidRPr="00072301" w:rsidRDefault="008D3704" w:rsidP="008D3704">
      <w:pPr>
        <w:spacing w:after="0" w:line="240" w:lineRule="auto"/>
        <w:ind w:left="270"/>
      </w:pPr>
      <w:r w:rsidRPr="00072301">
        <w:rPr>
          <w:bCs/>
        </w:rPr>
        <w:t>PLO-1: Identify important literary periods</w:t>
      </w:r>
    </w:p>
    <w:p w:rsidR="008D3704" w:rsidRPr="00072301" w:rsidRDefault="008D3704" w:rsidP="008D3704">
      <w:pPr>
        <w:spacing w:after="0" w:line="240" w:lineRule="auto"/>
        <w:ind w:left="270"/>
      </w:pPr>
      <w:r w:rsidRPr="00072301">
        <w:rPr>
          <w:bCs/>
        </w:rPr>
        <w:t>PLO-2: Identify major writers of fiction and poetry</w:t>
      </w:r>
    </w:p>
    <w:p w:rsidR="008D3704" w:rsidRPr="00072301" w:rsidRDefault="008D3704" w:rsidP="008D3704">
      <w:pPr>
        <w:spacing w:after="0" w:line="240" w:lineRule="auto"/>
        <w:ind w:left="270"/>
      </w:pPr>
      <w:r w:rsidRPr="00072301">
        <w:rPr>
          <w:bCs/>
        </w:rPr>
        <w:t>PLO-3: Closely analyze literary texts using appropriate literary and critical vocabulary</w:t>
      </w:r>
    </w:p>
    <w:p w:rsidR="008D3704" w:rsidRPr="00072301" w:rsidRDefault="008D3704" w:rsidP="008D3704">
      <w:pPr>
        <w:spacing w:after="0" w:line="240" w:lineRule="auto"/>
        <w:ind w:left="270"/>
      </w:pPr>
      <w:r w:rsidRPr="00072301">
        <w:rPr>
          <w:bCs/>
        </w:rPr>
        <w:t>PLO-4: Synthesize theoretical knowledge to produce original written interpretations of literary texts</w:t>
      </w:r>
    </w:p>
    <w:p w:rsidR="008D3704" w:rsidRDefault="008D3704" w:rsidP="008D3704">
      <w:pPr>
        <w:spacing w:after="0" w:line="240" w:lineRule="auto"/>
        <w:ind w:left="180" w:firstLine="90"/>
      </w:pPr>
      <w:r w:rsidRPr="00072301">
        <w:rPr>
          <w:bCs/>
        </w:rPr>
        <w:t>PLO-5: Appropriately employ pertinent secondary sources in writing</w:t>
      </w:r>
    </w:p>
    <w:p w:rsidR="00ED0488" w:rsidRDefault="008D3704" w:rsidP="008D3704">
      <w:pPr>
        <w:spacing w:after="0" w:line="240" w:lineRule="auto"/>
        <w:ind w:left="180" w:firstLine="90"/>
      </w:pPr>
      <w:r w:rsidRPr="00072301">
        <w:rPr>
          <w:bCs/>
        </w:rPr>
        <w:t xml:space="preserve">PLO-6: </w:t>
      </w:r>
      <w:r w:rsidRPr="00072301">
        <w:t>Demonstrate effective communication skills in academic, professional, or creative writing</w:t>
      </w:r>
    </w:p>
    <w:p w:rsidR="000C55BD" w:rsidRDefault="000C55B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16C30" w:rsidRDefault="00516C30" w:rsidP="00CB6477">
      <w:pPr>
        <w:spacing w:after="0" w:line="240" w:lineRule="auto"/>
        <w:jc w:val="center"/>
        <w:rPr>
          <w:b/>
          <w:u w:val="single"/>
        </w:rPr>
      </w:pPr>
      <w:r w:rsidRPr="00674C3F">
        <w:rPr>
          <w:b/>
          <w:u w:val="single"/>
        </w:rPr>
        <w:lastRenderedPageBreak/>
        <w:t>Self-Study Checklist</w:t>
      </w:r>
    </w:p>
    <w:p w:rsidR="00CB6477" w:rsidRPr="00CB6477" w:rsidRDefault="00CB6477" w:rsidP="00CB6477">
      <w:pPr>
        <w:spacing w:after="360" w:line="240" w:lineRule="auto"/>
      </w:pPr>
      <w:r>
        <w:t xml:space="preserve">This checklist is designed to be used by authors of self-study reports and </w:t>
      </w:r>
      <w:r w:rsidR="005232AA">
        <w:t xml:space="preserve">EWU </w:t>
      </w:r>
      <w:r>
        <w:t>reviewers responsible for ensuring quality control before the document is submitted to an accrediting body.</w:t>
      </w:r>
    </w:p>
    <w:p w:rsidR="008D3704" w:rsidRPr="00C027E4" w:rsidRDefault="008F5EDD" w:rsidP="00CB6477">
      <w:pPr>
        <w:tabs>
          <w:tab w:val="left" w:pos="360"/>
        </w:tabs>
        <w:spacing w:after="0" w:line="240" w:lineRule="auto"/>
        <w:ind w:left="360" w:hanging="360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ED0488" w:rsidRPr="00C027E4">
        <w:rPr>
          <w:b/>
        </w:rPr>
        <w:t xml:space="preserve">Is there </w:t>
      </w:r>
      <w:r w:rsidR="00516C30" w:rsidRPr="00C027E4">
        <w:rPr>
          <w:b/>
        </w:rPr>
        <w:t xml:space="preserve">a </w:t>
      </w:r>
      <w:r w:rsidR="00ED0488" w:rsidRPr="00C027E4">
        <w:rPr>
          <w:b/>
        </w:rPr>
        <w:t xml:space="preserve">narrative </w:t>
      </w:r>
      <w:r w:rsidR="00516C30" w:rsidRPr="00C027E4">
        <w:rPr>
          <w:b/>
        </w:rPr>
        <w:t>that</w:t>
      </w:r>
      <w:r w:rsidR="00ED0488" w:rsidRPr="00C027E4">
        <w:rPr>
          <w:b/>
        </w:rPr>
        <w:t xml:space="preserve"> address</w:t>
      </w:r>
      <w:r w:rsidR="00516C30" w:rsidRPr="00C027E4">
        <w:rPr>
          <w:b/>
        </w:rPr>
        <w:t>es</w:t>
      </w:r>
      <w:r w:rsidR="00ED0488" w:rsidRPr="00C027E4">
        <w:rPr>
          <w:b/>
        </w:rPr>
        <w:t xml:space="preserve"> </w:t>
      </w:r>
      <w:r w:rsidR="00ED0488" w:rsidRPr="00C027E4">
        <w:rPr>
          <w:b/>
          <w:u w:val="single"/>
        </w:rPr>
        <w:t>each</w:t>
      </w:r>
      <w:r w:rsidR="00ED0488" w:rsidRPr="00C027E4">
        <w:rPr>
          <w:b/>
        </w:rPr>
        <w:t xml:space="preserve"> component of </w:t>
      </w:r>
      <w:r w:rsidR="00ED0488" w:rsidRPr="00C027E4">
        <w:rPr>
          <w:b/>
          <w:u w:val="single"/>
        </w:rPr>
        <w:t>each</w:t>
      </w:r>
      <w:r w:rsidR="00ED0488" w:rsidRPr="00C027E4">
        <w:rPr>
          <w:b/>
        </w:rPr>
        <w:t xml:space="preserve"> standard</w:t>
      </w:r>
      <w:r w:rsidR="00CB6477">
        <w:rPr>
          <w:b/>
        </w:rPr>
        <w:t>?</w:t>
      </w:r>
    </w:p>
    <w:p w:rsidR="00516C30" w:rsidRPr="00516C30" w:rsidRDefault="00516C30" w:rsidP="00CB6477">
      <w:pPr>
        <w:tabs>
          <w:tab w:val="left" w:pos="360"/>
        </w:tabs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ED0488" w:rsidRPr="008F5EDD" w:rsidRDefault="008F5EDD" w:rsidP="00CB6477">
      <w:pPr>
        <w:spacing w:after="0" w:line="240" w:lineRule="auto"/>
        <w:ind w:left="360" w:hanging="360"/>
        <w:rPr>
          <w:b/>
        </w:rPr>
      </w:pPr>
      <w:r w:rsidRPr="008F5EDD">
        <w:rPr>
          <w:b/>
        </w:rPr>
        <w:t xml:space="preserve">2. </w:t>
      </w:r>
      <w:r>
        <w:rPr>
          <w:b/>
        </w:rPr>
        <w:tab/>
      </w:r>
      <w:r w:rsidR="00ED0488" w:rsidRPr="008F5EDD">
        <w:rPr>
          <w:b/>
        </w:rPr>
        <w:t>Do the document’s headings and subheadings make patently clear to</w:t>
      </w:r>
      <w:r w:rsidR="00516C30" w:rsidRPr="008F5EDD">
        <w:rPr>
          <w:b/>
        </w:rPr>
        <w:t xml:space="preserve"> the reader which element of each</w:t>
      </w:r>
      <w:r w:rsidR="00ED0488" w:rsidRPr="008F5EDD">
        <w:rPr>
          <w:b/>
        </w:rPr>
        <w:t xml:space="preserve"> standard the</w:t>
      </w:r>
      <w:r w:rsidR="00516C30" w:rsidRPr="008F5EDD">
        <w:rPr>
          <w:b/>
        </w:rPr>
        <w:t xml:space="preserve"> subsequent</w:t>
      </w:r>
      <w:r w:rsidR="00ED0488" w:rsidRPr="008F5EDD">
        <w:rPr>
          <w:b/>
        </w:rPr>
        <w:t xml:space="preserve"> narrative addresses</w:t>
      </w:r>
      <w:r w:rsidR="00CB6477">
        <w:rPr>
          <w:b/>
        </w:rPr>
        <w:t>?</w:t>
      </w:r>
    </w:p>
    <w:p w:rsidR="00516C30" w:rsidRDefault="00516C30" w:rsidP="00CB6477">
      <w:pPr>
        <w:tabs>
          <w:tab w:val="left" w:pos="360"/>
        </w:tabs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ED0488" w:rsidRDefault="008F5EDD" w:rsidP="00CB6477">
      <w:pPr>
        <w:spacing w:after="0" w:line="240" w:lineRule="auto"/>
        <w:ind w:left="360" w:hanging="36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ED0488" w:rsidRPr="008F5EDD">
        <w:rPr>
          <w:b/>
        </w:rPr>
        <w:t>Is every statement of fact supported with evidence that is provided either in the narrative or as an attachment/in an appendix</w:t>
      </w:r>
      <w:r w:rsidR="00CB6477">
        <w:rPr>
          <w:b/>
        </w:rPr>
        <w:t>?</w:t>
      </w:r>
    </w:p>
    <w:p w:rsidR="008F5EDD" w:rsidRDefault="008F5EDD" w:rsidP="00CB6477">
      <w:pPr>
        <w:tabs>
          <w:tab w:val="left" w:pos="360"/>
        </w:tabs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8F5EDD" w:rsidRPr="008F5EDD" w:rsidRDefault="008F5EDD" w:rsidP="00CB6477">
      <w:pPr>
        <w:spacing w:after="0" w:line="240" w:lineRule="auto"/>
        <w:ind w:left="270" w:hanging="27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8F5EDD">
        <w:rPr>
          <w:b/>
        </w:rPr>
        <w:t>Does the document acknowledge the program’s weaknesses in a non-defensive tone</w:t>
      </w:r>
      <w:r w:rsidR="00CB6477">
        <w:rPr>
          <w:b/>
        </w:rPr>
        <w:t>?</w:t>
      </w:r>
    </w:p>
    <w:p w:rsidR="008F5EDD" w:rsidRDefault="008F5EDD" w:rsidP="00CB6477">
      <w:pPr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41508E" w:rsidRPr="0041508E" w:rsidRDefault="0041508E" w:rsidP="00CB6477">
      <w:pPr>
        <w:spacing w:after="0" w:line="240" w:lineRule="auto"/>
        <w:ind w:left="360" w:hanging="36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41508E">
        <w:rPr>
          <w:b/>
        </w:rPr>
        <w:t>Are the data put in one or more tables that are clearly labeled, complete, and easy to understand</w:t>
      </w:r>
      <w:r w:rsidR="00CB6477">
        <w:rPr>
          <w:b/>
        </w:rPr>
        <w:t>?</w:t>
      </w:r>
    </w:p>
    <w:p w:rsidR="0041508E" w:rsidRDefault="0041508E" w:rsidP="00CB6477">
      <w:pPr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41508E" w:rsidRPr="0041508E" w:rsidRDefault="0041508E" w:rsidP="00CB6477">
      <w:pPr>
        <w:spacing w:after="0" w:line="240" w:lineRule="auto"/>
        <w:ind w:left="360" w:hanging="36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EA3C4D">
        <w:rPr>
          <w:b/>
        </w:rPr>
        <w:t>Has the document been</w:t>
      </w:r>
      <w:r>
        <w:rPr>
          <w:b/>
        </w:rPr>
        <w:t xml:space="preserve"> painstakingly proofread</w:t>
      </w:r>
      <w:r w:rsidR="00CB6477">
        <w:rPr>
          <w:b/>
        </w:rPr>
        <w:t>?</w:t>
      </w:r>
    </w:p>
    <w:p w:rsidR="0041508E" w:rsidRDefault="0041508E" w:rsidP="00CB6477">
      <w:pPr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674C3F" w:rsidRPr="0041508E" w:rsidRDefault="00674C3F" w:rsidP="00CB6477">
      <w:pPr>
        <w:spacing w:after="0" w:line="240" w:lineRule="auto"/>
        <w:ind w:left="360" w:hanging="360"/>
        <w:rPr>
          <w:b/>
        </w:rPr>
      </w:pPr>
      <w:r>
        <w:rPr>
          <w:b/>
        </w:rPr>
        <w:t>7.</w:t>
      </w:r>
      <w:r>
        <w:rPr>
          <w:b/>
        </w:rPr>
        <w:tab/>
        <w:t>Do you understand everything the document says</w:t>
      </w:r>
      <w:r w:rsidR="00CB6477">
        <w:rPr>
          <w:b/>
        </w:rPr>
        <w:t>?</w:t>
      </w:r>
    </w:p>
    <w:p w:rsidR="00674C3F" w:rsidRDefault="00674C3F" w:rsidP="00CB6477">
      <w:pPr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674C3F" w:rsidRPr="0041508E" w:rsidRDefault="00674C3F" w:rsidP="00CB6477">
      <w:pPr>
        <w:spacing w:after="0" w:line="240" w:lineRule="auto"/>
        <w:ind w:left="360" w:hanging="360"/>
        <w:rPr>
          <w:b/>
        </w:rPr>
      </w:pPr>
      <w:r>
        <w:rPr>
          <w:b/>
        </w:rPr>
        <w:t>8.</w:t>
      </w:r>
      <w:r>
        <w:rPr>
          <w:b/>
        </w:rPr>
        <w:tab/>
        <w:t>If you were a member of the accrediting body’s review team, would you recommend to the accreditation commission that the program be (re-)accredited</w:t>
      </w:r>
      <w:r w:rsidR="00CB6477">
        <w:rPr>
          <w:b/>
        </w:rPr>
        <w:t>?</w:t>
      </w:r>
    </w:p>
    <w:p w:rsidR="00CB6477" w:rsidRDefault="00674C3F" w:rsidP="00CB6477">
      <w:pPr>
        <w:tabs>
          <w:tab w:val="left" w:pos="360"/>
        </w:tabs>
        <w:spacing w:after="480" w:line="240" w:lineRule="auto"/>
        <w:ind w:left="360"/>
      </w:pP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Yes</w:t>
      </w:r>
      <w:r>
        <w:tab/>
      </w:r>
      <w:r>
        <w:tab/>
      </w:r>
      <w:r w:rsidRPr="00516C3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</w:t>
      </w:r>
    </w:p>
    <w:p w:rsidR="00C65A6E" w:rsidRDefault="00CB6477" w:rsidP="00CB6477">
      <w:pPr>
        <w:tabs>
          <w:tab w:val="left" w:pos="360"/>
        </w:tabs>
        <w:spacing w:after="0" w:line="240" w:lineRule="auto"/>
      </w:pPr>
      <w:r>
        <w:t>R</w:t>
      </w:r>
      <w:r w:rsidRPr="00CB6477">
        <w:rPr>
          <w:u w:val="single"/>
        </w:rPr>
        <w:t>eviewers</w:t>
      </w:r>
      <w:r>
        <w:t>: P</w:t>
      </w:r>
      <w:r w:rsidR="00C65A6E">
        <w:t>lease provide feedback to the author(s) regarding each of the points above for which you checked “no.</w:t>
      </w:r>
      <w:r>
        <w:t>”</w:t>
      </w:r>
      <w:r w:rsidR="00C65A6E">
        <w:br/>
      </w:r>
    </w:p>
    <w:sectPr w:rsidR="00C65A6E" w:rsidSect="0076176D">
      <w:footerReference w:type="default" r:id="rId8"/>
      <w:footerReference w:type="first" r:id="rId9"/>
      <w:pgSz w:w="12240" w:h="15840"/>
      <w:pgMar w:top="1440" w:right="1440" w:bottom="17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30" w:rsidRDefault="00516C30" w:rsidP="00516C30">
      <w:pPr>
        <w:spacing w:after="0" w:line="240" w:lineRule="auto"/>
      </w:pPr>
      <w:r>
        <w:separator/>
      </w:r>
    </w:p>
  </w:endnote>
  <w:endnote w:type="continuationSeparator" w:id="0">
    <w:p w:rsidR="00516C30" w:rsidRDefault="00516C30" w:rsidP="005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95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5BD" w:rsidRDefault="000C5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55BD" w:rsidRDefault="000C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D" w:rsidRDefault="000C55BD" w:rsidP="00516C30">
    <w:pPr>
      <w:spacing w:after="0" w:line="240" w:lineRule="auto"/>
      <w:jc w:val="right"/>
    </w:pPr>
  </w:p>
  <w:p w:rsidR="00516C30" w:rsidRPr="002D068E" w:rsidRDefault="00516C30" w:rsidP="00516C30">
    <w:pPr>
      <w:spacing w:after="0" w:line="240" w:lineRule="auto"/>
      <w:jc w:val="right"/>
    </w:pPr>
    <w:r w:rsidRPr="002D068E">
      <w:t xml:space="preserve">Jill </w:t>
    </w:r>
    <w:r w:rsidR="000C55BD">
      <w:t xml:space="preserve">Allison </w:t>
    </w:r>
    <w:r w:rsidRPr="002D068E">
      <w:t>Kern, PhD</w:t>
    </w:r>
  </w:p>
  <w:p w:rsidR="00516C30" w:rsidRPr="002D068E" w:rsidRDefault="00516C30" w:rsidP="00516C30">
    <w:pPr>
      <w:spacing w:after="0" w:line="240" w:lineRule="auto"/>
      <w:jc w:val="right"/>
    </w:pPr>
    <w:r w:rsidRPr="002D068E">
      <w:t xml:space="preserve">Director of Assessment &amp; Accreditation </w:t>
    </w:r>
  </w:p>
  <w:p w:rsidR="00516C30" w:rsidRDefault="00516C30" w:rsidP="00516C30">
    <w:pPr>
      <w:spacing w:after="0" w:line="240" w:lineRule="auto"/>
      <w:jc w:val="right"/>
    </w:pPr>
    <w:r w:rsidRPr="002D068E">
      <w:t>9/12/2017</w:t>
    </w:r>
  </w:p>
  <w:p w:rsidR="0076176D" w:rsidRPr="002D068E" w:rsidRDefault="0076176D" w:rsidP="00516C30">
    <w:pPr>
      <w:spacing w:after="0" w:line="240" w:lineRule="auto"/>
      <w:jc w:val="right"/>
    </w:pPr>
  </w:p>
  <w:p w:rsidR="00516C30" w:rsidRDefault="0051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30" w:rsidRDefault="00516C30" w:rsidP="00516C30">
      <w:pPr>
        <w:spacing w:after="0" w:line="240" w:lineRule="auto"/>
      </w:pPr>
      <w:r>
        <w:separator/>
      </w:r>
    </w:p>
  </w:footnote>
  <w:footnote w:type="continuationSeparator" w:id="0">
    <w:p w:rsidR="00516C30" w:rsidRDefault="00516C30" w:rsidP="005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51EA"/>
    <w:multiLevelType w:val="hybridMultilevel"/>
    <w:tmpl w:val="C0A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A"/>
    <w:rsid w:val="000C55BD"/>
    <w:rsid w:val="001765BA"/>
    <w:rsid w:val="001C0BC3"/>
    <w:rsid w:val="002335CE"/>
    <w:rsid w:val="002B4148"/>
    <w:rsid w:val="002D068E"/>
    <w:rsid w:val="00325604"/>
    <w:rsid w:val="00346171"/>
    <w:rsid w:val="003E0C41"/>
    <w:rsid w:val="0041508E"/>
    <w:rsid w:val="00417B43"/>
    <w:rsid w:val="00487194"/>
    <w:rsid w:val="004A1534"/>
    <w:rsid w:val="00516C30"/>
    <w:rsid w:val="0052024C"/>
    <w:rsid w:val="005232AA"/>
    <w:rsid w:val="005E447E"/>
    <w:rsid w:val="00674C3F"/>
    <w:rsid w:val="0076176D"/>
    <w:rsid w:val="007C3F84"/>
    <w:rsid w:val="0089317F"/>
    <w:rsid w:val="008D3704"/>
    <w:rsid w:val="008D63EC"/>
    <w:rsid w:val="008F5EDD"/>
    <w:rsid w:val="00963FA6"/>
    <w:rsid w:val="009E2436"/>
    <w:rsid w:val="00BB0602"/>
    <w:rsid w:val="00BD1AE2"/>
    <w:rsid w:val="00C027E4"/>
    <w:rsid w:val="00C23935"/>
    <w:rsid w:val="00C65A6E"/>
    <w:rsid w:val="00CB6477"/>
    <w:rsid w:val="00CD32E0"/>
    <w:rsid w:val="00D62A7F"/>
    <w:rsid w:val="00D948FC"/>
    <w:rsid w:val="00DB1DC8"/>
    <w:rsid w:val="00DF0A73"/>
    <w:rsid w:val="00EA3C4D"/>
    <w:rsid w:val="00EC6733"/>
    <w:rsid w:val="00ED0488"/>
    <w:rsid w:val="00E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C052A"/>
  <w15:chartTrackingRefBased/>
  <w15:docId w15:val="{E088C094-32FF-47DA-89BC-A2D0888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30"/>
  </w:style>
  <w:style w:type="paragraph" w:styleId="Footer">
    <w:name w:val="footer"/>
    <w:basedOn w:val="Normal"/>
    <w:link w:val="FooterChar"/>
    <w:uiPriority w:val="99"/>
    <w:unhideWhenUsed/>
    <w:rsid w:val="0051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10CE-F9E4-475B-8084-1F53FABF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Jill</dc:creator>
  <cp:keywords/>
  <dc:description/>
  <cp:lastModifiedBy>Kern, Jill</cp:lastModifiedBy>
  <cp:revision>13</cp:revision>
  <cp:lastPrinted>2017-09-14T17:18:00Z</cp:lastPrinted>
  <dcterms:created xsi:type="dcterms:W3CDTF">2017-09-12T15:51:00Z</dcterms:created>
  <dcterms:modified xsi:type="dcterms:W3CDTF">2018-05-04T15:33:00Z</dcterms:modified>
</cp:coreProperties>
</file>