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89" w:rsidRPr="008B0E89" w:rsidRDefault="008B0E89" w:rsidP="008B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1875" cy="914400"/>
            <wp:effectExtent l="19050" t="0" r="9525" b="0"/>
            <wp:docPr id="425" name="Picture 425" descr="http://complyplus.grainger.com/grainger/Images/Header_Pop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complyplus.grainger.com/grainger/Images/Header_Pop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250"/>
      </w:tblGrid>
      <w:tr w:rsidR="008B0E89" w:rsidRPr="008B0E89" w:rsidTr="008B0E89">
        <w:trPr>
          <w:tblCellSpacing w:w="0" w:type="dxa"/>
        </w:trPr>
        <w:tc>
          <w:tcPr>
            <w:tcW w:w="300" w:type="dxa"/>
            <w:vAlign w:val="center"/>
            <w:hideMark/>
          </w:tcPr>
          <w:p w:rsidR="008B0E89" w:rsidRPr="008B0E89" w:rsidRDefault="008B0E89" w:rsidP="008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62"/>
              <w:gridCol w:w="7988"/>
            </w:tblGrid>
            <w:tr w:rsidR="008B0E89" w:rsidRPr="008B0E89">
              <w:trPr>
                <w:tblCellSpacing w:w="0" w:type="dxa"/>
              </w:trPr>
              <w:tc>
                <w:tcPr>
                  <w:tcW w:w="1450" w:type="pct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Common Name: </w:t>
                  </w:r>
                </w:p>
              </w:tc>
              <w:tc>
                <w:tcPr>
                  <w:tcW w:w="3550" w:type="pct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sz w:val="20"/>
                    </w:rPr>
                    <w:t>TOUGH GUY DISINFECTANT SPRAY</w:t>
                  </w:r>
                </w:p>
              </w:tc>
            </w:tr>
            <w:tr w:rsidR="008B0E89" w:rsidRPr="008B0E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Manufacturer:</w:t>
                  </w:r>
                </w:p>
              </w:tc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sz w:val="20"/>
                    </w:rPr>
                    <w:t>W.W. GRAINGER</w:t>
                  </w:r>
                </w:p>
              </w:tc>
            </w:tr>
            <w:tr w:rsidR="008B0E89" w:rsidRPr="008B0E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MSDS Revision Date: </w:t>
                  </w:r>
                </w:p>
              </w:tc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sz w:val="20"/>
                    </w:rPr>
                    <w:t>8/30/2007</w:t>
                  </w:r>
                </w:p>
              </w:tc>
            </w:tr>
            <w:tr w:rsidR="008B0E89" w:rsidRPr="008B0E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B0E89" w:rsidRPr="008B0E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Grainger Item Number(s): </w:t>
                  </w:r>
                </w:p>
              </w:tc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2DBX6</w:t>
                  </w:r>
                </w:p>
              </w:tc>
            </w:tr>
            <w:tr w:rsidR="008B0E89" w:rsidRPr="008B0E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Manufacturer Model Number(s): </w:t>
                  </w:r>
                </w:p>
              </w:tc>
              <w:tc>
                <w:tcPr>
                  <w:tcW w:w="0" w:type="auto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8B0E89" w:rsidRPr="008B0E89" w:rsidRDefault="008B0E89" w:rsidP="008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E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MSDS Table of Contents</w:t>
            </w:r>
            <w:r w:rsidRPr="008B0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E89">
              <w:rPr>
                <w:rFonts w:ascii="Verdana" w:eastAsia="Times New Roman" w:hAnsi="Verdana" w:cs="Times New Roman"/>
                <w:sz w:val="15"/>
                <w:szCs w:val="15"/>
              </w:rPr>
              <w:t>Click the desired link below to jump directly to that section in the MSDS.</w:t>
            </w:r>
            <w:r w:rsidRPr="008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E89" w:rsidRPr="008B0E89" w:rsidRDefault="006003D6" w:rsidP="008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fillcolor="#eee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anchor="sec0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1: COMPANY IDENTIFICATION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anchor="sec1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2: INGREDIENTS/IDENTITY INFORMATION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anchor="sec2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3: HAZARDS IDENTIFICATION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anchor="sec3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4: EMERGENCY AND FIRST AID PROCEDURES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anchor="sec4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5: FIRE FIGHTING MEASURES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anchor="sec5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6: ACCIDENTAL RELEASE MEASURES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anchor="sec6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7: HANDLING AND STORAGE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anchor="sec7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8: EXPOSURE CONTROLS / PERSONAL PROTECTION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anchor="sec8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9: PHYSICAL AND CHEMICAL PROPERTIES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anchor="sec9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10: STABILITY AND REACTIVITY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anchor="sec10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11: TOXICOLOGICAL INFORMATION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anchor="sec11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12: ECOLOGICAL INFORMATION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anchor="sec12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13: DISPOSAL CONSIDERATION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anchor="sec13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14: TRANSPORT INFORMATION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anchor="sec14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15: REGULATORY INFORMATION </w:t>
                    </w:r>
                  </w:hyperlink>
                </w:p>
              </w:tc>
            </w:tr>
            <w:tr w:rsidR="008B0E89" w:rsidRPr="008B0E89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E89" w:rsidRPr="008B0E89" w:rsidRDefault="006003D6" w:rsidP="008B0E8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anchor="sec15" w:history="1">
                    <w:r w:rsidR="008B0E89" w:rsidRPr="008B0E89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SECTION 16: ADDITIONAL INFORMATION </w:t>
                    </w:r>
                  </w:hyperlink>
                </w:p>
              </w:tc>
            </w:tr>
          </w:tbl>
          <w:p w:rsidR="008B0E89" w:rsidRPr="008B0E89" w:rsidRDefault="006003D6" w:rsidP="008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noshade="t" o:hr="t" fillcolor="#eee" stroked="f"/>
              </w:pict>
            </w:r>
          </w:p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B0E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t>MATERIAL SAFETY DATA SHEET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HMIS(R*):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HEALTH              2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FLAMMABILITY        3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REACTIVITY          0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PERSONAL PROTECTION B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IDENTITY: TOUGH GUY DISINFECTANT SPRAY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PART NUMBER: 2DBX6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NOTE: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BLANK SPACES ARE NOT PERMITTED. IF ANY ITEM IS NOT APPLICABLE, OR NO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INFORMATION IS AVAILABLE, THE SPACE MUST BE MARKED TO INDICATE THAT.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sec0"/>
                  <w:bookmarkEnd w:id="1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lastRenderedPageBreak/>
                    <w:t>SECTION 1: COMPANY IDENTIFICATION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28" name="Picture 428" descr="http://complyplus.grainger.com/grainger/images/MSDSText_Top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://complyplus.grainger.com/grainger/images/MSDSText_Top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MANUFACTURED FOR: W.W. GRAINGER, INC.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ADDRESS (NUMBER, STREET, CITY, STATE, AND ZIP CODE):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100 GRAINGER PARKWAY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LAKE FOREST, IL 60045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EMERGENCY TELEPHONE NUMBER: 1-800-228-5635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TELEPHONE NUMBER FOR INFORMATION: 1-847-535-5400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SIGNATURE OF PREPARER (OPTIONAL):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sec1"/>
                  <w:bookmarkEnd w:id="2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2: INGREDIENTS/IDENTITY INFORMATION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29" name="Picture 429" descr="http://complyplus.grainger.com/grainger/images/MSDSText_Top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://complyplus.grainger.com/grainger/images/MSDSText_Top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COMPONENTS           CAS NO.     OSHA    ACGIH-   OTHER LIMITS    %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(CHEMICAL IDENTITY,              PEL     TLV      RECOMMENDED   (OPT.)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COMMON NAME(S))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ETHANOL              64-17-5     1000    1000                   60 - 100%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                                PPM     PPM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ISOBUTANE            75-28-5     800     800                    10 - 30%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                                PPM     PPM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PROPANE              74-98-6     1000    2500                    1 - 5%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                                PPM     PPM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ORTHOPHENYLPHENOL    90-43-7     NONE    NONE                   &lt;1%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ANY SUBSTANCE LISTED AS HAZARDOUS BY THE STATES OF CALIFORNIA, FLORIDA,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ILLINOIS, MICHIGAN, NEW JERSEY, OHIO, PENNSYLVANIA OR TEXAS IS DESCRIBED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ABOVE IF KNOWN PRESENT IN REGULATED CONCENTRATIONS.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sec2"/>
                  <w:bookmarkEnd w:id="3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3: HAZARDS IDENTIFICATION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0" name="Picture 430" descr="http://complyplus.grainger.com/grainger/images/MSDSText_Top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://complyplus.grainger.com/grainger/images/MSDSText_Top.gif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ROUTE(S) OF ENTRY: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EYES?: YES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INHALATION?: YES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SKIN?: YES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INGESTION?: YES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ACUTE HEALTH HAZARDS: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WARNING. WILL CAUSE EYE IRRITATION UPON EXPOSURE AND SKIN IRRITATION WITH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PROLONGED EXPOSURE. CAN BE HARMFUL IF SWALLOWED OR IF SPRAY MIST IS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INHALED.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CHRONIC HEALTH HAZARDS: NONE KNOWN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CARCINOGENICITY: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CHEMICAL: NONE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OSHA: NO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NTP: NO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IARC: NO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SIGNS AND SYMPTOMS OF EXPOSURE: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IF IN EYES: BURNING SENSATION, WATERING, OR REDNESS.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IF ON SKIN: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REDNESS, IRRITATION, OR BURNING SENSATION WITH PROLONGED EXPOSURE.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IF SPRAY MIST IS INHALED: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COUGHING, STUPOR, DROWSINESS OR LOSS OF CONSCIOUSNESS WITH PROLONGED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BREATHING OF VAPORS.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IF SWALLOWED: POSSIBLE GASTROINTESTINAL IRRITATION OR DISTURBANCE.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MEDICAL CONDITIONS GENERALLY AGGRAVATED BY EXPOSURE: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PRE-EXISTING SKIN CONDITIONS MAY BE AGGRAVATED.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sec3"/>
                  <w:bookmarkEnd w:id="4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4: EMERGENCY AND FIRST AID PROCEDURES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1" name="Picture 431" descr="http://complyplus.grainger.com/grainger/images/MSDSText_Top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://complyplus.grainger.com/grainger/images/MSDSText_Top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EYES: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FLUSH WITH PLENTY OF WATER FOR AT LEAST 15 MINUTES LIFTING EYELIDS TO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INSURE COMPLETE REMOVAL. SEE A PHYSICIAN IMMEDIATELY.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INGESTION: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IF PATIENT IS CONSCIOUS AND ALERT, DILUTE BY DRINKING LARGE QUANTITIES OF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WATER. DO NOT INDUCE VOMITING WITHOUT MEDICAL ADVICE. ALWAYS GET MEDICAL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ATTENTION WHEN PRODUCT IS SWALLOWED OR WHEN SYMPTOMS ARE SIGNIFICANT OR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PERSIST.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INHALATION: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GET TO FRESH AIR. IF BREATHING HAS STOPPED, QUALIFIED PERSONNEL SHOULD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ADMINISTER ARTIFICIAL RESPIRATION.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SKIN: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FLUSH WITH PLENTY OF WATER FOR AT LEAST 15 MINUTES. REMOVE AND LAUNDER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CONTAMINATED CLOTHING BEFORE REUSE. IF IRRITATION ARISES AND PERSISTS,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CALL A PHYSICIAN.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sec4"/>
                  <w:bookmarkEnd w:id="5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5: FIRE FIGHTING MEASURES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2" name="Picture 432" descr="http://complyplus.grainger.com/grainger/images/MSDSText_Top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://complyplus.grainger.com/grainger/images/MSDSText_Top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USA FLAME PROJECTION TEST: &gt;18", NO FLASHBACK (FLAMMABLE)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FLAMMABLE LIMITS: NO DATA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LEL: NO DATA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UEL: NO DATA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EXTINGUISHING MEDIA: USE CARBON DIOXIDE, DRY CHEMICAL, FOAM.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SPECIAL FIRE FIGHTING PROCEDURES: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USE WATER SPRAY TO KEEP CONTAINERS COOL AND VAPORS DOWN. DO NOT ALLOW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RUNOFF TO ENTER SEWERS OR PUBLIC WATERCOURSES. WEAR SELF-CONTAINED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BREATHING APPARATUS IN CHEMICAL FIRES.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HAZARDOUS PRODUCTS OF COMBUSTION: CARBON DIOXIDE AND CARBON MONOXIDE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UNUSUAL FIRE AND EXPLOSION HAZARDS: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AEROSOL CONTAINER (PRESSURIZED) MAY BURST IF HEATED OVER 130 DEG. F.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sec5"/>
                  <w:bookmarkEnd w:id="6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6: ACCIDENTAL RELEASE MEASURES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3" name="Picture 433" descr="http://complyplus.grainger.com/grainger/images/MSDSText_Top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://complyplus.grainger.com/grainger/images/MSDSText_Top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SMALL SPILL: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WIPE UP SMALL RELEASES WITH A DRY ABSORBENT CLOTH OR OTHER ABSORBENT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MATERIAL.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LARGE SPILL: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ABSORB LIQUID WITH VERMICULITE, ABSORBENT CLOTH, OR OTHER ABSORBENT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MATERIAL. PREVENT MATERIAL FROM ENTERING SEWERS OR DRAINS. VENTILATE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AREA AND BLOCK TRAFFIC. TRANSFER CONTAMINATED MATERIAL INTO SUITABLE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CONTAINER FOR PROPER DISPOSAL.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sec6"/>
                  <w:bookmarkEnd w:id="7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7: HANDLING AND STORAGE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4" name="Picture 434" descr="http://complyplus.grainger.com/grainger/images/MSDSText_Top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://complyplus.grainger.com/grainger/images/MSDSText_Top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HANDLING: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DO NOT GET IN EYES, ON SKIN OR CLOTHING. WASH THOROUGHLY AFTER HANDLING.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DO NOT SWALLOW. USE WITH ADEQUATE VENTILATION.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STORAGE: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STORE IN A COOL WELL VENTILATED AREA. KEEP AWAY FROM HEAT SOURCES. KEEP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OUT OF REACH OF CHILDREN. DO NOT STORE NEAR IGNITION SOURCES OR AT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TEMPERATURES ABOVE 120 DEG. KEEP CAP ON CONTAINER WHEN NOT IN USE.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sec7"/>
                  <w:bookmarkEnd w:id="8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8: EXPOSURE CONTROLS / PERSONAL PROTECTION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5" name="Picture 435" descr="http://complyplus.grainger.com/grainger/images/MSDSText_Top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://complyplus.grainger.com/grainger/images/MSDSText_Top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EYE PROTECTION: YES, GOGGLES OR APPROVED SAFETY GLASSES (ANSI Z87).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SKIN PROTECTION: YES IMPERVIOUS (I.E. NITRILE, RUBBER)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RESPIRATORY PROTECTIONS: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NOT USUALLY NECESSARY. USE WITH ADEQUATE VENTILATION. USE NIOSH/MSHA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APPROVED RESPIRATOR IF PELS OR TLVS ARE EXCEEDED.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ENGINEERING CONTROLS: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VENTILATION NOT USUALLY NECESSARY BUT SHOULD BE PROVIDED IN THE EVENT OF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OVEREXPOSURE.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sec8"/>
                  <w:bookmarkEnd w:id="9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9: PHYSICAL AND CHEMICAL PROPERTIES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6" name="Picture 436" descr="http://complyplus.grainger.com/grainger/images/MSDSText_Top.gif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://complyplus.grainger.com/grainger/images/MSDSText_Top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APPEARANCE AND ODOR: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CLEAR LIQUID WITH AN ALCOHOL AND FLORAL SCENT IN AN AEROSOL CAN.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pH: 9.5 +/- 0.5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SPECIFIC GRAVITY (70 DEG. F): 0.825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BOILING POINT: 212 DEG. F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MELTING POINT: NO DATA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EVAPORATION RATE (BUTYL ACETATE = 1): NO DATA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PRESSURE (PSIG. @ 70 DEG. F): 70 +/- 5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VAPOR DENSITY (AIR = 1): NO DATA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SOLUBILITY IN WATER: COMPLETE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VOLATILE ORGANIC COMPOUNDS (VOCS):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669 GRAMS PER LITER OR 89.5% BY WEIGHT VOCS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sec9"/>
                  <w:bookmarkEnd w:id="10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10: STABILITY AND REACTIVITY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7" name="Picture 437" descr="http://complyplus.grainger.com/grainger/images/MSDSText_Top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://complyplus.grainger.com/grainger/images/MSDSText_Top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HAZARDOUS POLYMERIZATION: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THIS PRODUCT WILL NOT UNDERGO HAZARDOUS POLYMERIZATION.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HAZARDOUS DECOMPOSITION OR BYPRODUCTS: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CARBON DIOXIDE AND CARBON MONOXIDE.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CHEMICAL STABILITY: STABLE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INCOMPATIBILITY (MATERIALS TO AVOID): STRONG ACIDS AND OXIDIZERS.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sec10"/>
                  <w:bookmarkEnd w:id="11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11: TOXICOLOGICAL INFORMATION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8" name="Picture 438" descr="http://complyplus.grainger.com/grainger/images/MSDSText_Top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://complyplus.grainger.com/grainger/images/MSDSText_Top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NO DATA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sec11"/>
                  <w:bookmarkEnd w:id="12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12: ECOLOGICAL INFORMATION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39" name="Picture 439" descr="http://complyplus.grainger.com/grainger/images/MSDSText_Top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://complyplus.grainger.com/grainger/images/MSDSText_Top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NO DATA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sec12"/>
                  <w:bookmarkEnd w:id="13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13: DISPOSAL CONSIDERATION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40" name="Picture 440" descr="http://complyplus.grainger.com/grainger/images/MSDSText_Top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://complyplus.grainger.com/grainger/images/MSDSText_Top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DISPOSAL METHOD: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DISPOSE OF IN ACCORDANCE WITH ALL APPLICABLE LOCAL, STATE, AND FEDERAL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REGULATIONS.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RCRA WASTE INFORMATION: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IF THIS PRODUCT BECOMES A WASTE, IT WOULD BE A HAZARDOUS WASTE (D001) AS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DEFINED BY RCRA (40 CFR 261). HOWEVER THE WASTE SHOULD BE PROPERLY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CHARACTERIZED TO EVALUATE WHETHER ITS COMPOSITION HAS BEEN MODIFIED PRIOR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TO DISPOSAL.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sec13"/>
                  <w:bookmarkEnd w:id="14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14: TRANSPORT INFORMATION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41" name="Picture 441" descr="http://complyplus.grainger.com/grainger/images/MSDSText_Top.gi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://complyplus.grainger.com/grainger/images/MSDSText_Top.gif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DOT INFORMATION - 49 CFR 172.101: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PROPER SHIPPING DESCRIPTION: CONSUMER COMMODITY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HAZARD CLASS: ORM-D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IDENTIFICATION NUMBER: NONE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PACKING GROUP: NONE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WATER TRANSPORTATION: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PROPER SHIPPING DESCRIPTION: AEROSOLS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HAZARD CLASS: 2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IDENTIFICATION NUMBER: UN1950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PACKING GROUP: NONE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AIR TRANSPORTATION: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PROPER SHIPPING DESCRIPTION: AEROSOLS, FLAMMABLE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HAZARD CLASS: 2.1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IDENTIFICATION NUMBER: UN1950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PACKING GROUP: NONE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MARINE POLLUTANTS: NONE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" w:name="sec14"/>
                  <w:bookmarkEnd w:id="15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15: REGULATORY INFORMATION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42" name="Picture 442" descr="http://complyplus.grainger.com/grainger/images/MSDSText_Top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://complyplus.grainger.com/grainger/images/MSDSText_Top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US FEDERAL REGULATIONS: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EPA PRODUCT REGISTRATION NUMBER: 211-32-10637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TSCA (TOXIC SUBSTANCES CONTROL ACT) STATUS: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ALL INGREDIENTS ARE ON THE TSCA INVENTORY OR ARE NOT REQUIRED TO BE LISTED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ON THE TSCA INVENTORY.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CERCLA RQ - 40 CFR 302.4 (A): NONE LISTED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SARA 313 COMPONENTS - 40 CFR 372.65: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ORTHOPHENYLPHENOL          (CAS 90-43-7)            0.21%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STATE AND LOCAL REGULATIONS: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CALIFORNIA PROPOSITION 65: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WARNING: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THIS PRODUCT CONTAINS A CHEMICAL (ORTHOPHENYLPHENOL) KNOWN TO THE STATE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OF CALIFORNIA TO CAUSE CANCER.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  <w:gridCol w:w="615"/>
            </w:tblGrid>
            <w:tr w:rsidR="008B0E89" w:rsidRPr="008B0E89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" w:name="sec15"/>
                  <w:bookmarkEnd w:id="16"/>
                  <w:r w:rsidRPr="008B0E8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SECTION 16: ADDITIONAL INFORMATION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E89" w:rsidRPr="008B0E89" w:rsidRDefault="008B0E89" w:rsidP="008B0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14325" cy="152400"/>
                        <wp:effectExtent l="19050" t="0" r="9525" b="0"/>
                        <wp:docPr id="443" name="Picture 443" descr="http://complyplus.grainger.com/grainger/images/MSDSText_Top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http://complyplus.grainger.com/grainger/images/MSDSText_Top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89" w:rsidRPr="008B0E89" w:rsidRDefault="008B0E89" w:rsidP="008B0E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DATE PREPARED: 08/30/07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WARNING!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THE USE OF THIS PRODUCT IS BEYOND THE CONTROL OF THE MANUFACTURER;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THEREFORE, NO GUARANTEE, EXPRESSED OR IMPLIED, IS MADE AS TO THE EFFECTS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OF SUCH OR THE RESULTS TO BE OBTAINED IF NOT USED IN ACCORDANCE WITH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DIRECTIONS OR ESTABLISHED SAFE PRACTICE. THE USER MUST ASSUME ALL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RESPONSIBILITY, INCLUDING INJURY OR DAMAGE, RESULTING FROM ITS MISUSE AS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SUCH, OR IN COMBINATION WITH OTHER MATERIALS. THE MANUFACTURER WARRANTS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ONLY THAT THIS PRODUCT MEETS THE MANUFACTURER'S SPECIFICATIONS FOR SUCH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PRODUCT. THIS WARRANTY IS IN LIEU OF ALL OTHER WARRANTIES, EXPRESS OR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IMPLIED, AS TO DESCRIPTION, QUALITY, MERCHANTABILITY. FITNESS FOR ANY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PARTICULAR PURPOSE, PRODUCTIVENESS, OR ANY OTHER MATTER, OF THIS PRODUCT.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THE MANUFACTURER SHALL BE IN NO WAY RESPONSIBLE FOR THE IMPROPER USE OF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THIS PRODUCT. THE SOLE AND EXCLUSIVE REMEDY AGAINST THE MANUFACTURER FOR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BREACH OF WARRANTY SHALL BE REIMBURSEMENT OF THE PURCHASE PRICE OF THE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PRODUCT IN THE EVENT THAT A DEFECTIVE CONDITION OF THE PRODUCT SHALL BE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FOUND TO EXIST. NO OTHER REMEDY (INCLUDING BUT NOT LIMITED TO INCIDENTAL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OR CONSEQUENTIAL DAMAGES FOR INJURY TO PERSON OR PROPERTY OR ANY OTHER</w:t>
            </w:r>
            <w:r w:rsidRPr="008B0E8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INCIDENTAL OR CONSEQUENTIAL LOSS) SHALL BE AVAILABLE.</w:t>
            </w:r>
          </w:p>
        </w:tc>
      </w:tr>
    </w:tbl>
    <w:p w:rsidR="00BB7148" w:rsidRPr="008B0E89" w:rsidRDefault="008B0E89" w:rsidP="008B0E89">
      <w:r w:rsidRPr="008B0E8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BB7148" w:rsidRPr="008B0E89" w:rsidSect="00BB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2C"/>
    <w:rsid w:val="000210B7"/>
    <w:rsid w:val="001149D7"/>
    <w:rsid w:val="00203388"/>
    <w:rsid w:val="00420E36"/>
    <w:rsid w:val="004223EC"/>
    <w:rsid w:val="00473707"/>
    <w:rsid w:val="006003D6"/>
    <w:rsid w:val="006B1F4D"/>
    <w:rsid w:val="00713A0A"/>
    <w:rsid w:val="00736C17"/>
    <w:rsid w:val="0078637F"/>
    <w:rsid w:val="008B0E89"/>
    <w:rsid w:val="00993487"/>
    <w:rsid w:val="00B70C67"/>
    <w:rsid w:val="00BB7148"/>
    <w:rsid w:val="00BE6B6E"/>
    <w:rsid w:val="00C76CEA"/>
    <w:rsid w:val="00EE47B1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4FEAC-80D2-4A48-9490-B6283CB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FC292C"/>
    <w:rPr>
      <w:rFonts w:ascii="Verdana" w:hAnsi="Verdana" w:hint="default"/>
      <w:b/>
      <w:bCs/>
      <w:sz w:val="20"/>
      <w:szCs w:val="20"/>
    </w:rPr>
  </w:style>
  <w:style w:type="character" w:customStyle="1" w:styleId="style81">
    <w:name w:val="style81"/>
    <w:basedOn w:val="DefaultParagraphFont"/>
    <w:rsid w:val="00FC292C"/>
    <w:rPr>
      <w:rFonts w:ascii="Verdana" w:hAnsi="Verdana" w:hint="default"/>
      <w:sz w:val="20"/>
      <w:szCs w:val="20"/>
    </w:rPr>
  </w:style>
  <w:style w:type="character" w:customStyle="1" w:styleId="style91">
    <w:name w:val="style91"/>
    <w:basedOn w:val="DefaultParagraphFont"/>
    <w:rsid w:val="00FC292C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29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lyplus.grainger.com/grainger/msds.asp?sheetid=3003176" TargetMode="External"/><Relationship Id="rId13" Type="http://schemas.openxmlformats.org/officeDocument/2006/relationships/hyperlink" Target="http://complyplus.grainger.com/grainger/msds.asp?sheetid=3003176" TargetMode="External"/><Relationship Id="rId18" Type="http://schemas.openxmlformats.org/officeDocument/2006/relationships/hyperlink" Target="http://complyplus.grainger.com/grainger/msds.asp?sheetid=300317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gif"/><Relationship Id="rId7" Type="http://schemas.openxmlformats.org/officeDocument/2006/relationships/hyperlink" Target="http://complyplus.grainger.com/grainger/msds.asp?sheetid=3003176" TargetMode="External"/><Relationship Id="rId12" Type="http://schemas.openxmlformats.org/officeDocument/2006/relationships/hyperlink" Target="http://complyplus.grainger.com/grainger/msds.asp?sheetid=3003176" TargetMode="External"/><Relationship Id="rId17" Type="http://schemas.openxmlformats.org/officeDocument/2006/relationships/hyperlink" Target="http://complyplus.grainger.com/grainger/msds.asp?sheetid=30031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plyplus.grainger.com/grainger/msds.asp?sheetid=3003176" TargetMode="External"/><Relationship Id="rId20" Type="http://schemas.openxmlformats.org/officeDocument/2006/relationships/hyperlink" Target="http://complyplus.grainger.com/grainger/msds.asp?sheetid=3003176" TargetMode="External"/><Relationship Id="rId1" Type="http://schemas.openxmlformats.org/officeDocument/2006/relationships/styles" Target="styles.xml"/><Relationship Id="rId6" Type="http://schemas.openxmlformats.org/officeDocument/2006/relationships/hyperlink" Target="http://complyplus.grainger.com/grainger/msds.asp?sheetid=3003176" TargetMode="External"/><Relationship Id="rId11" Type="http://schemas.openxmlformats.org/officeDocument/2006/relationships/hyperlink" Target="http://complyplus.grainger.com/grainger/msds.asp?sheetid=3003176" TargetMode="External"/><Relationship Id="rId5" Type="http://schemas.openxmlformats.org/officeDocument/2006/relationships/hyperlink" Target="http://complyplus.grainger.com/grainger/msds.asp?sheetid=3003176" TargetMode="External"/><Relationship Id="rId15" Type="http://schemas.openxmlformats.org/officeDocument/2006/relationships/hyperlink" Target="http://complyplus.grainger.com/grainger/msds.asp?sheetid=30031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plyplus.grainger.com/grainger/msds.asp?sheetid=3003176" TargetMode="External"/><Relationship Id="rId19" Type="http://schemas.openxmlformats.org/officeDocument/2006/relationships/hyperlink" Target="http://complyplus.grainger.com/grainger/msds.asp?sheetid=300317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omplyplus.grainger.com/grainger/msds.asp?sheetid=3003176" TargetMode="External"/><Relationship Id="rId14" Type="http://schemas.openxmlformats.org/officeDocument/2006/relationships/hyperlink" Target="http://complyplus.grainger.com/grainger/msds.asp?sheetid=30031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jamess</dc:creator>
  <cp:keywords/>
  <dc:description/>
  <cp:lastModifiedBy>Riggs, Madeline</cp:lastModifiedBy>
  <cp:revision>2</cp:revision>
  <dcterms:created xsi:type="dcterms:W3CDTF">2016-12-21T22:03:00Z</dcterms:created>
  <dcterms:modified xsi:type="dcterms:W3CDTF">2016-12-21T22:03:00Z</dcterms:modified>
</cp:coreProperties>
</file>