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6D29" w14:textId="398E5A49" w:rsidR="003D4A98" w:rsidRPr="00412579" w:rsidRDefault="00121EF1" w:rsidP="0041257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21EF1">
        <w:rPr>
          <w:rFonts w:ascii="Times New Roman" w:hAnsi="Times New Roman" w:cs="Times New Roman"/>
          <w:sz w:val="28"/>
          <w:szCs w:val="28"/>
        </w:rPr>
        <w:t>Employee</w:t>
      </w:r>
      <w:r w:rsidR="00774A9B">
        <w:rPr>
          <w:rFonts w:ascii="Times New Roman" w:hAnsi="Times New Roman" w:cs="Times New Roman"/>
          <w:sz w:val="28"/>
          <w:szCs w:val="28"/>
        </w:rPr>
        <w:t xml:space="preserve"> </w:t>
      </w:r>
      <w:r w:rsidRPr="00121EF1">
        <w:rPr>
          <w:rFonts w:ascii="Times New Roman" w:hAnsi="Times New Roman" w:cs="Times New Roman"/>
          <w:sz w:val="28"/>
          <w:szCs w:val="28"/>
        </w:rPr>
        <w:t>Travel</w:t>
      </w:r>
      <w:r w:rsidR="00774A9B">
        <w:rPr>
          <w:rFonts w:ascii="Times New Roman" w:hAnsi="Times New Roman" w:cs="Times New Roman"/>
          <w:sz w:val="28"/>
          <w:szCs w:val="28"/>
        </w:rPr>
        <w:t xml:space="preserve"> </w:t>
      </w:r>
      <w:r w:rsidRPr="00121EF1">
        <w:rPr>
          <w:rFonts w:ascii="Times New Roman" w:hAnsi="Times New Roman" w:cs="Times New Roman"/>
          <w:sz w:val="28"/>
          <w:szCs w:val="28"/>
        </w:rPr>
        <w:t>Guide:</w:t>
      </w:r>
      <w:r>
        <w:rPr>
          <w:rFonts w:ascii="Times New Roman" w:hAnsi="Times New Roman" w:cs="Times New Roman"/>
          <w:sz w:val="28"/>
          <w:szCs w:val="28"/>
        </w:rPr>
        <w:br/>
      </w:r>
      <w:r w:rsidRPr="00007FF1">
        <w:rPr>
          <w:rFonts w:ascii="Times New Roman" w:hAnsi="Times New Roman" w:cs="Times New Roman"/>
          <w:sz w:val="28"/>
          <w:szCs w:val="28"/>
        </w:rPr>
        <w:t>Travel</w:t>
      </w:r>
      <w:r w:rsidR="00774A9B" w:rsidRPr="00007FF1">
        <w:rPr>
          <w:rFonts w:ascii="Times New Roman" w:hAnsi="Times New Roman" w:cs="Times New Roman"/>
          <w:sz w:val="28"/>
          <w:szCs w:val="28"/>
        </w:rPr>
        <w:t xml:space="preserve"> </w:t>
      </w:r>
      <w:r w:rsidRPr="00007FF1">
        <w:rPr>
          <w:rFonts w:ascii="Times New Roman" w:hAnsi="Times New Roman" w:cs="Times New Roman"/>
          <w:sz w:val="28"/>
          <w:szCs w:val="28"/>
        </w:rPr>
        <w:t>Requirements</w:t>
      </w:r>
      <w:r w:rsidR="00774A9B" w:rsidRPr="00007FF1">
        <w:rPr>
          <w:rFonts w:ascii="Times New Roman" w:hAnsi="Times New Roman" w:cs="Times New Roman"/>
          <w:sz w:val="28"/>
          <w:szCs w:val="28"/>
        </w:rPr>
        <w:t xml:space="preserve"> </w:t>
      </w:r>
      <w:r w:rsidRPr="00007FF1">
        <w:rPr>
          <w:rFonts w:ascii="Times New Roman" w:hAnsi="Times New Roman" w:cs="Times New Roman"/>
          <w:sz w:val="28"/>
          <w:szCs w:val="28"/>
        </w:rPr>
        <w:t>for</w:t>
      </w:r>
      <w:r w:rsidR="00774A9B" w:rsidRPr="00007FF1">
        <w:rPr>
          <w:rFonts w:ascii="Times New Roman" w:hAnsi="Times New Roman" w:cs="Times New Roman"/>
          <w:sz w:val="28"/>
          <w:szCs w:val="28"/>
        </w:rPr>
        <w:t xml:space="preserve"> </w:t>
      </w:r>
      <w:r w:rsidRPr="00007FF1">
        <w:rPr>
          <w:rFonts w:ascii="Times New Roman" w:hAnsi="Times New Roman" w:cs="Times New Roman"/>
          <w:sz w:val="28"/>
          <w:szCs w:val="28"/>
        </w:rPr>
        <w:t>Groups</w:t>
      </w:r>
    </w:p>
    <w:p w14:paraId="0681847B" w14:textId="5B6A4793" w:rsidR="00412579" w:rsidRDefault="00121EF1" w:rsidP="004125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occurs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when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non-employees,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with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same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purpose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destination,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unit.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term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does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apply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when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two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more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have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same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purpose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destination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(as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each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needs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complete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separate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="00FA7481">
        <w:rPr>
          <w:rFonts w:ascii="Times New Roman" w:hAnsi="Times New Roman" w:cs="Times New Roman"/>
          <w:sz w:val="24"/>
          <w:szCs w:val="24"/>
        </w:rPr>
        <w:t>request</w:t>
      </w:r>
      <w:r w:rsidRPr="00121EF1">
        <w:rPr>
          <w:rFonts w:ascii="Times New Roman" w:hAnsi="Times New Roman" w:cs="Times New Roman"/>
          <w:sz w:val="24"/>
          <w:szCs w:val="24"/>
        </w:rPr>
        <w:t>).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However,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sponsor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may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submit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one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="00513BE8">
        <w:rPr>
          <w:rFonts w:ascii="Times New Roman" w:hAnsi="Times New Roman" w:cs="Times New Roman"/>
          <w:sz w:val="24"/>
          <w:szCs w:val="24"/>
        </w:rPr>
        <w:t>travel request in Concur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when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multiple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accompany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non-employees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expenses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paid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reimbursed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sponsor.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section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silent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situation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occurring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with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policies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procedures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apply.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other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non-employee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processed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through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Purchasing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Office</w:t>
        </w:r>
      </w:hyperlink>
      <w:r w:rsidRPr="00121EF1">
        <w:rPr>
          <w:rFonts w:ascii="Times New Roman" w:hAnsi="Times New Roman" w:cs="Times New Roman"/>
          <w:sz w:val="24"/>
          <w:szCs w:val="24"/>
        </w:rPr>
        <w:t>.</w:t>
      </w:r>
    </w:p>
    <w:p w14:paraId="12DCD16E" w14:textId="38C5E437" w:rsidR="00513BE8" w:rsidRDefault="00121EF1" w:rsidP="00121EF1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university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(permanent,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non-student)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designated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leader.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leader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coordinates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arrangements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including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preparation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="00513BE8">
        <w:rPr>
          <w:rFonts w:ascii="Times New Roman" w:hAnsi="Times New Roman" w:cs="Times New Roman"/>
          <w:sz w:val="24"/>
          <w:szCs w:val="24"/>
        </w:rPr>
        <w:t xml:space="preserve">Concur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="00513BE8">
        <w:rPr>
          <w:rFonts w:ascii="Times New Roman" w:hAnsi="Times New Roman" w:cs="Times New Roman"/>
          <w:sz w:val="24"/>
          <w:szCs w:val="24"/>
        </w:rPr>
        <w:t>request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="00FA7481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="00FA7481" w:rsidRPr="00513BE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Conc</w:t>
        </w:r>
        <w:r w:rsidR="00FA7481" w:rsidRPr="00513BE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u</w:t>
        </w:r>
        <w:r w:rsidR="00FA7481" w:rsidRPr="00513BE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 xml:space="preserve">r Request </w:t>
        </w:r>
        <w:proofErr w:type="spellStart"/>
        <w:r w:rsidR="00FA7481" w:rsidRPr="00513BE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Quickstart</w:t>
        </w:r>
        <w:proofErr w:type="spellEnd"/>
        <w:r w:rsidR="00FA7481" w:rsidRPr="00513BE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 xml:space="preserve"> Guide</w:t>
        </w:r>
      </w:hyperlink>
      <w:r w:rsidR="00FA7481" w:rsidRPr="00513BE8">
        <w:rPr>
          <w:rFonts w:ascii="Times New Roman" w:hAnsi="Times New Roman" w:cs="Times New Roman"/>
          <w:sz w:val="24"/>
          <w:szCs w:val="24"/>
        </w:rPr>
        <w:t>)</w:t>
      </w:r>
      <w:r w:rsidR="00FA7481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securing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necessary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approvals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supervisor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budget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authority.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leader's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name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indicated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along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with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number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whether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with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</w:t>
      </w:r>
      <w:r w:rsidR="00513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5D110" w14:textId="12BED51E" w:rsidR="00121EF1" w:rsidRPr="00121EF1" w:rsidRDefault="00121EF1" w:rsidP="00121EF1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advance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authorized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under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same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purpose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limitations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advances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leader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obtains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accounts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advances.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default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accounting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advance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handled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same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manner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employees.</w:t>
      </w:r>
    </w:p>
    <w:p w14:paraId="3582369E" w14:textId="6F8DFB64" w:rsidR="00121EF1" w:rsidRPr="00121EF1" w:rsidRDefault="00121EF1" w:rsidP="00121EF1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Basis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reimbursement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subsistence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lodging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costs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exceed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those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costs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specified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However,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1EF1">
        <w:rPr>
          <w:rFonts w:ascii="Times New Roman" w:hAnsi="Times New Roman" w:cs="Times New Roman"/>
          <w:sz w:val="24"/>
          <w:szCs w:val="24"/>
        </w:rPr>
        <w:t>-hour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rule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anchor="10.40.50" w:history="1">
        <w:r w:rsidRPr="00745BAB">
          <w:rPr>
            <w:rStyle w:val="Hyperlink"/>
            <w:rFonts w:ascii="Times New Roman" w:hAnsi="Times New Roman" w:cs="Times New Roman"/>
            <w:sz w:val="24"/>
            <w:szCs w:val="24"/>
          </w:rPr>
          <w:t>SAAM</w:t>
        </w:r>
        <w:r w:rsidR="00774A9B" w:rsidRPr="00745BA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10.</w:t>
        </w:r>
        <w:r w:rsidR="00774A9B" w:rsidRPr="00745BAB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774A9B" w:rsidRPr="00745BAB">
          <w:rPr>
            <w:rStyle w:val="Hyperlink"/>
            <w:rFonts w:ascii="Times New Roman" w:hAnsi="Times New Roman" w:cs="Times New Roman"/>
            <w:sz w:val="24"/>
            <w:szCs w:val="24"/>
          </w:rPr>
          <w:t>0.</w:t>
        </w:r>
        <w:proofErr w:type="gramStart"/>
        <w:r w:rsidR="00774A9B" w:rsidRPr="00745BAB">
          <w:rPr>
            <w:rStyle w:val="Hyperlink"/>
            <w:rFonts w:ascii="Times New Roman" w:hAnsi="Times New Roman" w:cs="Times New Roman"/>
            <w:sz w:val="24"/>
            <w:szCs w:val="24"/>
          </w:rPr>
          <w:t>50</w:t>
        </w:r>
        <w:r w:rsidR="00745BAB" w:rsidRPr="00745BAB">
          <w:rPr>
            <w:rStyle w:val="Hyperlink"/>
            <w:rFonts w:ascii="Times New Roman" w:hAnsi="Times New Roman" w:cs="Times New Roman"/>
            <w:sz w:val="24"/>
            <w:szCs w:val="24"/>
          </w:rPr>
          <w:t>.b.</w:t>
        </w:r>
        <w:proofErr w:type="gramEnd"/>
      </w:hyperlink>
      <w:r w:rsidR="00774A9B">
        <w:rPr>
          <w:rFonts w:ascii="Times New Roman" w:hAnsi="Times New Roman" w:cs="Times New Roman"/>
          <w:sz w:val="24"/>
          <w:szCs w:val="24"/>
        </w:rPr>
        <w:t xml:space="preserve">) </w:t>
      </w:r>
      <w:r w:rsidRPr="00121EF1">
        <w:rPr>
          <w:rFonts w:ascii="Times New Roman" w:hAnsi="Times New Roman" w:cs="Times New Roman"/>
          <w:sz w:val="24"/>
          <w:szCs w:val="24"/>
        </w:rPr>
        <w:t>does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apply.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Subsistence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rates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(for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meals)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found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State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Admini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trative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Accounting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Manual</w:t>
        </w:r>
      </w:hyperlink>
      <w:r w:rsidRPr="00121EF1">
        <w:rPr>
          <w:rFonts w:ascii="Times New Roman" w:hAnsi="Times New Roman" w:cs="Times New Roman"/>
          <w:sz w:val="24"/>
          <w:szCs w:val="24"/>
        </w:rPr>
        <w:t>.</w:t>
      </w:r>
    </w:p>
    <w:p w14:paraId="5F762323" w14:textId="7E02073C" w:rsidR="00121EF1" w:rsidRPr="00121EF1" w:rsidRDefault="00121EF1" w:rsidP="00121EF1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Receipts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required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subsistence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expenses.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receipt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form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official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receipt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from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vendor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completed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group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travel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ros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er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receipt</w:t>
        </w:r>
        <w:r w:rsidR="00774A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21EF1">
          <w:rPr>
            <w:rStyle w:val="Hyperlink"/>
            <w:rFonts w:ascii="Times New Roman" w:hAnsi="Times New Roman" w:cs="Times New Roman"/>
            <w:sz w:val="24"/>
            <w:szCs w:val="24"/>
          </w:rPr>
          <w:t>form</w:t>
        </w:r>
      </w:hyperlink>
      <w:r w:rsidRPr="00121EF1">
        <w:rPr>
          <w:rFonts w:ascii="Times New Roman" w:hAnsi="Times New Roman" w:cs="Times New Roman"/>
          <w:sz w:val="24"/>
          <w:szCs w:val="24"/>
        </w:rPr>
        <w:t>.</w:t>
      </w:r>
    </w:p>
    <w:p w14:paraId="14F3C701" w14:textId="0E37B2A9" w:rsidR="00121EF1" w:rsidRPr="00121EF1" w:rsidRDefault="00121EF1" w:rsidP="00121EF1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If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provided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non-unit,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roster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completed.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amount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disbursed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exceed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total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allowable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subsistence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that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Each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must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sign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roster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indicating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dollar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amount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received.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cost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noted</w:t>
      </w:r>
      <w:r w:rsidR="00774A9B">
        <w:rPr>
          <w:rFonts w:ascii="Times New Roman" w:hAnsi="Times New Roman" w:cs="Times New Roman"/>
          <w:sz w:val="24"/>
          <w:szCs w:val="24"/>
        </w:rPr>
        <w:t xml:space="preserve"> in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expense report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travel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roster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receipt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form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be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attached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line item “</w:t>
      </w:r>
      <w:r w:rsidR="00774A9B" w:rsidRPr="00774A9B">
        <w:rPr>
          <w:rFonts w:ascii="Times New Roman" w:hAnsi="Times New Roman" w:cs="Times New Roman"/>
          <w:sz w:val="24"/>
          <w:szCs w:val="24"/>
        </w:rPr>
        <w:t>Group Meals/Entertainment</w:t>
      </w:r>
      <w:r w:rsidR="00774A9B">
        <w:rPr>
          <w:rFonts w:ascii="Times New Roman" w:hAnsi="Times New Roman" w:cs="Times New Roman"/>
          <w:sz w:val="24"/>
          <w:szCs w:val="24"/>
        </w:rPr>
        <w:t xml:space="preserve">” with the </w:t>
      </w:r>
      <w:r w:rsidR="00FA7481">
        <w:rPr>
          <w:rFonts w:ascii="Times New Roman" w:hAnsi="Times New Roman" w:cs="Times New Roman"/>
          <w:sz w:val="24"/>
          <w:szCs w:val="24"/>
        </w:rPr>
        <w:t>vendor’s</w:t>
      </w:r>
      <w:r w:rsidR="00774A9B">
        <w:rPr>
          <w:rFonts w:ascii="Times New Roman" w:hAnsi="Times New Roman" w:cs="Times New Roman"/>
          <w:sz w:val="24"/>
          <w:szCs w:val="24"/>
        </w:rPr>
        <w:t xml:space="preserve"> name “Group Roster.”</w:t>
      </w:r>
    </w:p>
    <w:p w14:paraId="4B2E2D95" w14:textId="4B6CBEDF" w:rsidR="00750212" w:rsidRDefault="00121EF1" w:rsidP="00513BE8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21EF1">
        <w:rPr>
          <w:rFonts w:ascii="Times New Roman" w:hAnsi="Times New Roman" w:cs="Times New Roman"/>
          <w:sz w:val="24"/>
          <w:szCs w:val="24"/>
        </w:rPr>
        <w:t>If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students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provided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unit,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total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costs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(including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tax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gratuity,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if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any)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not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exceed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total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daily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allowable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subsistence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in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combination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with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other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that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day.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leader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pay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for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secure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official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receipt.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receipt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must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detail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cost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plus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tax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gratuity.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This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receipt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will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support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expense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="00513BE8">
        <w:rPr>
          <w:rFonts w:ascii="Times New Roman" w:hAnsi="Times New Roman" w:cs="Times New Roman"/>
          <w:sz w:val="24"/>
          <w:szCs w:val="24"/>
        </w:rPr>
        <w:t>in the travel expense report</w:t>
      </w:r>
      <w:r w:rsidRPr="00121EF1">
        <w:rPr>
          <w:rFonts w:ascii="Times New Roman" w:hAnsi="Times New Roman" w:cs="Times New Roman"/>
          <w:sz w:val="24"/>
          <w:szCs w:val="24"/>
        </w:rPr>
        <w:t>.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sponsor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and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any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other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employees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accompanying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group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shall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receive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daily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meal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rate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rather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than</w:t>
      </w:r>
      <w:r w:rsidR="00774A9B">
        <w:rPr>
          <w:rFonts w:ascii="Times New Roman" w:hAnsi="Times New Roman" w:cs="Times New Roman"/>
          <w:sz w:val="24"/>
          <w:szCs w:val="24"/>
        </w:rPr>
        <w:t xml:space="preserve"> </w:t>
      </w:r>
      <w:r w:rsidRPr="00121EF1">
        <w:rPr>
          <w:rFonts w:ascii="Times New Roman" w:hAnsi="Times New Roman" w:cs="Times New Roman"/>
          <w:sz w:val="24"/>
          <w:szCs w:val="24"/>
        </w:rPr>
        <w:t>the</w:t>
      </w:r>
      <w:r w:rsidR="00774A9B">
        <w:rPr>
          <w:rFonts w:ascii="Times New Roman" w:hAnsi="Times New Roman" w:cs="Times New Roman"/>
          <w:sz w:val="24"/>
          <w:szCs w:val="24"/>
        </w:rPr>
        <w:t xml:space="preserve"> per-meal </w:t>
      </w:r>
      <w:r w:rsidRPr="00121EF1">
        <w:rPr>
          <w:rFonts w:ascii="Times New Roman" w:hAnsi="Times New Roman" w:cs="Times New Roman"/>
          <w:sz w:val="24"/>
          <w:szCs w:val="24"/>
        </w:rPr>
        <w:t>allowance.</w:t>
      </w:r>
      <w:r w:rsidR="00750212">
        <w:rPr>
          <w:rFonts w:ascii="Times New Roman" w:hAnsi="Times New Roman" w:cs="Times New Roman"/>
          <w:sz w:val="24"/>
          <w:szCs w:val="24"/>
        </w:rPr>
        <w:br w:type="page"/>
      </w:r>
    </w:p>
    <w:p w14:paraId="3CD5CFC0" w14:textId="3BF01CC2" w:rsidR="00774A9B" w:rsidRPr="00774A9B" w:rsidRDefault="00774A9B" w:rsidP="00774A9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74A9B">
        <w:rPr>
          <w:rFonts w:ascii="Times New Roman" w:hAnsi="Times New Roman" w:cs="Times New Roman"/>
          <w:sz w:val="24"/>
          <w:szCs w:val="24"/>
        </w:rPr>
        <w:lastRenderedPageBreak/>
        <w:t>Official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receipts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lodging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taxes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group.</w:t>
      </w:r>
    </w:p>
    <w:p w14:paraId="4B83866B" w14:textId="7AE69B78" w:rsidR="00121EF1" w:rsidRPr="00121EF1" w:rsidRDefault="00774A9B" w:rsidP="00774A9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74A9B">
        <w:rPr>
          <w:rFonts w:ascii="Times New Roman" w:hAnsi="Times New Roman" w:cs="Times New Roman"/>
          <w:sz w:val="24"/>
          <w:szCs w:val="24"/>
        </w:rPr>
        <w:t>Traveler's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checks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advance.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checks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allowable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expense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indicated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774A9B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miscellaneous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expense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voucher.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Attach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receipt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line item in the travel expense report.</w:t>
      </w:r>
    </w:p>
    <w:p w14:paraId="45978E29" w14:textId="1B8AE2DE" w:rsidR="00750212" w:rsidRDefault="00750212" w:rsidP="004125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A2E2202" w14:textId="77777777" w:rsidR="00121EF1" w:rsidRPr="00412579" w:rsidRDefault="00121EF1" w:rsidP="0041257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121EF1" w:rsidRPr="00412579" w:rsidSect="0041257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A0CB" w14:textId="77777777" w:rsidR="008479B6" w:rsidRDefault="008479B6" w:rsidP="00412579">
      <w:pPr>
        <w:spacing w:after="0" w:line="240" w:lineRule="auto"/>
      </w:pPr>
      <w:r>
        <w:separator/>
      </w:r>
    </w:p>
  </w:endnote>
  <w:endnote w:type="continuationSeparator" w:id="0">
    <w:p w14:paraId="33779DA5" w14:textId="77777777" w:rsidR="008479B6" w:rsidRDefault="008479B6" w:rsidP="0041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28C7" w14:textId="4A0F0B49" w:rsidR="00750212" w:rsidRDefault="00750212" w:rsidP="00750212">
    <w:pPr>
      <w:pStyle w:val="Footer"/>
      <w:pBdr>
        <w:top w:val="thinThickSmallGap" w:sz="24" w:space="1" w:color="622423"/>
      </w:pBdr>
      <w:tabs>
        <w:tab w:val="clear" w:pos="4680"/>
      </w:tabs>
      <w:rPr>
        <w:rFonts w:ascii="Verdana" w:eastAsia="Times New Roman" w:hAnsi="Verdana"/>
        <w:sz w:val="15"/>
        <w:szCs w:val="15"/>
      </w:rPr>
    </w:pPr>
    <w:r>
      <w:rPr>
        <w:rFonts w:ascii="Verdana" w:eastAsia="Times New Roman" w:hAnsi="Verdana"/>
        <w:sz w:val="15"/>
        <w:szCs w:val="15"/>
      </w:rPr>
      <w:t>Prepared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by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EWU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Travel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Accounting</w:t>
    </w:r>
    <w:r>
      <w:rPr>
        <w:rFonts w:ascii="Verdana" w:eastAsia="Times New Roman" w:hAnsi="Verdana"/>
        <w:sz w:val="15"/>
        <w:szCs w:val="15"/>
      </w:rPr>
      <w:br/>
      <w:t>Revised:</w:t>
    </w:r>
    <w:r w:rsidR="00513BE8">
      <w:rPr>
        <w:rFonts w:ascii="Verdana" w:eastAsia="Times New Roman" w:hAnsi="Verdana"/>
        <w:sz w:val="15"/>
        <w:szCs w:val="15"/>
      </w:rPr>
      <w:t>12-22-2022</w:t>
    </w:r>
    <w:r>
      <w:rPr>
        <w:rFonts w:ascii="Verdana" w:eastAsia="Times New Roman" w:hAnsi="Verdana"/>
        <w:sz w:val="15"/>
        <w:szCs w:val="15"/>
      </w:rPr>
      <w:tab/>
      <w:t>Page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b/>
        <w:bCs/>
        <w:sz w:val="15"/>
        <w:szCs w:val="15"/>
      </w:rPr>
      <w:fldChar w:fldCharType="begin"/>
    </w:r>
    <w:r>
      <w:rPr>
        <w:rFonts w:ascii="Verdana" w:eastAsia="Times New Roman" w:hAnsi="Verdana"/>
        <w:b/>
        <w:bCs/>
        <w:sz w:val="15"/>
        <w:szCs w:val="15"/>
      </w:rPr>
      <w:instrText xml:space="preserve"> PAGE  \* Arabic  \* MERGEFORMAT </w:instrText>
    </w:r>
    <w:r>
      <w:rPr>
        <w:rFonts w:ascii="Verdana" w:eastAsia="Times New Roman" w:hAnsi="Verdana"/>
        <w:b/>
        <w:bCs/>
        <w:sz w:val="15"/>
        <w:szCs w:val="15"/>
      </w:rPr>
      <w:fldChar w:fldCharType="separate"/>
    </w:r>
    <w:r>
      <w:rPr>
        <w:rFonts w:ascii="Verdana" w:eastAsia="Times New Roman" w:hAnsi="Verdana"/>
        <w:b/>
        <w:bCs/>
        <w:sz w:val="15"/>
        <w:szCs w:val="15"/>
      </w:rPr>
      <w:t>1</w:t>
    </w:r>
    <w:r>
      <w:rPr>
        <w:rFonts w:ascii="Verdana" w:eastAsia="Times New Roman" w:hAnsi="Verdana"/>
        <w:b/>
        <w:bCs/>
        <w:sz w:val="15"/>
        <w:szCs w:val="15"/>
      </w:rPr>
      <w:fldChar w:fldCharType="end"/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of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b/>
        <w:bCs/>
        <w:sz w:val="15"/>
        <w:szCs w:val="15"/>
      </w:rPr>
      <w:fldChar w:fldCharType="begin"/>
    </w:r>
    <w:r>
      <w:rPr>
        <w:rFonts w:ascii="Verdana" w:eastAsia="Times New Roman" w:hAnsi="Verdana"/>
        <w:b/>
        <w:bCs/>
        <w:sz w:val="15"/>
        <w:szCs w:val="15"/>
      </w:rPr>
      <w:instrText xml:space="preserve"> NUMPAGES  \* Arabic  \* MERGEFORMAT </w:instrText>
    </w:r>
    <w:r>
      <w:rPr>
        <w:rFonts w:ascii="Verdana" w:eastAsia="Times New Roman" w:hAnsi="Verdana"/>
        <w:b/>
        <w:bCs/>
        <w:sz w:val="15"/>
        <w:szCs w:val="15"/>
      </w:rPr>
      <w:fldChar w:fldCharType="separate"/>
    </w:r>
    <w:r>
      <w:rPr>
        <w:rFonts w:ascii="Verdana" w:eastAsia="Times New Roman" w:hAnsi="Verdana"/>
        <w:b/>
        <w:bCs/>
        <w:sz w:val="15"/>
        <w:szCs w:val="15"/>
      </w:rPr>
      <w:t>2</w:t>
    </w:r>
    <w:r>
      <w:rPr>
        <w:rFonts w:ascii="Verdana" w:eastAsia="Times New Roman" w:hAnsi="Verdana"/>
        <w:b/>
        <w:bCs/>
        <w:sz w:val="15"/>
        <w:szCs w:val="15"/>
      </w:rPr>
      <w:fldChar w:fldCharType="end"/>
    </w:r>
  </w:p>
  <w:p w14:paraId="7DF53C5F" w14:textId="77777777" w:rsidR="00750212" w:rsidRDefault="0075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E3BC" w14:textId="1054AD0D" w:rsidR="00412579" w:rsidRDefault="00412579" w:rsidP="00412579">
    <w:pPr>
      <w:pStyle w:val="Footer"/>
      <w:pBdr>
        <w:top w:val="thinThickSmallGap" w:sz="24" w:space="1" w:color="622423"/>
      </w:pBdr>
      <w:tabs>
        <w:tab w:val="clear" w:pos="4680"/>
      </w:tabs>
      <w:rPr>
        <w:rFonts w:ascii="Verdana" w:eastAsia="Times New Roman" w:hAnsi="Verdana"/>
        <w:sz w:val="15"/>
        <w:szCs w:val="15"/>
      </w:rPr>
    </w:pPr>
    <w:r>
      <w:rPr>
        <w:rFonts w:ascii="Verdana" w:eastAsia="Times New Roman" w:hAnsi="Verdana"/>
        <w:sz w:val="15"/>
        <w:szCs w:val="15"/>
      </w:rPr>
      <w:t>Prepared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by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EWU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Travel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Accounting</w:t>
    </w:r>
    <w:r>
      <w:rPr>
        <w:rFonts w:ascii="Verdana" w:eastAsia="Times New Roman" w:hAnsi="Verdana"/>
        <w:sz w:val="15"/>
        <w:szCs w:val="15"/>
      </w:rPr>
      <w:br/>
      <w:t>Revised:</w:t>
    </w:r>
    <w:r w:rsidR="00513BE8">
      <w:rPr>
        <w:rFonts w:ascii="Verdana" w:eastAsia="Times New Roman" w:hAnsi="Verdana"/>
        <w:sz w:val="15"/>
        <w:szCs w:val="15"/>
      </w:rPr>
      <w:t xml:space="preserve"> 12-22-2022</w:t>
    </w:r>
    <w:r>
      <w:rPr>
        <w:rFonts w:ascii="Verdana" w:eastAsia="Times New Roman" w:hAnsi="Verdana"/>
        <w:sz w:val="15"/>
        <w:szCs w:val="15"/>
      </w:rPr>
      <w:tab/>
      <w:t>Page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b/>
        <w:bCs/>
        <w:sz w:val="15"/>
        <w:szCs w:val="15"/>
      </w:rPr>
      <w:fldChar w:fldCharType="begin"/>
    </w:r>
    <w:r>
      <w:rPr>
        <w:rFonts w:ascii="Verdana" w:eastAsia="Times New Roman" w:hAnsi="Verdana"/>
        <w:b/>
        <w:bCs/>
        <w:sz w:val="15"/>
        <w:szCs w:val="15"/>
      </w:rPr>
      <w:instrText xml:space="preserve"> PAGE  \* Arabic  \* MERGEFORMAT </w:instrText>
    </w:r>
    <w:r>
      <w:rPr>
        <w:rFonts w:ascii="Verdana" w:eastAsia="Times New Roman" w:hAnsi="Verdana"/>
        <w:b/>
        <w:bCs/>
        <w:sz w:val="15"/>
        <w:szCs w:val="15"/>
      </w:rPr>
      <w:fldChar w:fldCharType="separate"/>
    </w:r>
    <w:r>
      <w:rPr>
        <w:rFonts w:ascii="Verdana" w:eastAsia="Times New Roman" w:hAnsi="Verdana"/>
        <w:b/>
        <w:bCs/>
        <w:sz w:val="15"/>
        <w:szCs w:val="15"/>
      </w:rPr>
      <w:t>1</w:t>
    </w:r>
    <w:r>
      <w:rPr>
        <w:rFonts w:ascii="Verdana" w:eastAsia="Times New Roman" w:hAnsi="Verdana"/>
        <w:b/>
        <w:bCs/>
        <w:sz w:val="15"/>
        <w:szCs w:val="15"/>
      </w:rPr>
      <w:fldChar w:fldCharType="end"/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sz w:val="15"/>
        <w:szCs w:val="15"/>
      </w:rPr>
      <w:t>of</w:t>
    </w:r>
    <w:r w:rsidR="00774A9B">
      <w:rPr>
        <w:rFonts w:ascii="Verdana" w:eastAsia="Times New Roman" w:hAnsi="Verdana"/>
        <w:sz w:val="15"/>
        <w:szCs w:val="15"/>
      </w:rPr>
      <w:t xml:space="preserve"> </w:t>
    </w:r>
    <w:r>
      <w:rPr>
        <w:rFonts w:ascii="Verdana" w:eastAsia="Times New Roman" w:hAnsi="Verdana"/>
        <w:b/>
        <w:bCs/>
        <w:sz w:val="15"/>
        <w:szCs w:val="15"/>
      </w:rPr>
      <w:fldChar w:fldCharType="begin"/>
    </w:r>
    <w:r>
      <w:rPr>
        <w:rFonts w:ascii="Verdana" w:eastAsia="Times New Roman" w:hAnsi="Verdana"/>
        <w:b/>
        <w:bCs/>
        <w:sz w:val="15"/>
        <w:szCs w:val="15"/>
      </w:rPr>
      <w:instrText xml:space="preserve"> NUMPAGES  \* Arabic  \* MERGEFORMAT </w:instrText>
    </w:r>
    <w:r>
      <w:rPr>
        <w:rFonts w:ascii="Verdana" w:eastAsia="Times New Roman" w:hAnsi="Verdana"/>
        <w:b/>
        <w:bCs/>
        <w:sz w:val="15"/>
        <w:szCs w:val="15"/>
      </w:rPr>
      <w:fldChar w:fldCharType="separate"/>
    </w:r>
    <w:r>
      <w:rPr>
        <w:rFonts w:ascii="Verdana" w:eastAsia="Times New Roman" w:hAnsi="Verdana"/>
        <w:b/>
        <w:bCs/>
        <w:sz w:val="15"/>
        <w:szCs w:val="15"/>
      </w:rPr>
      <w:t>2</w:t>
    </w:r>
    <w:r>
      <w:rPr>
        <w:rFonts w:ascii="Verdana" w:eastAsia="Times New Roman" w:hAnsi="Verdana"/>
        <w:b/>
        <w:bCs/>
        <w:sz w:val="15"/>
        <w:szCs w:val="15"/>
      </w:rPr>
      <w:fldChar w:fldCharType="end"/>
    </w:r>
  </w:p>
  <w:p w14:paraId="116F58B9" w14:textId="77777777" w:rsidR="00412579" w:rsidRDefault="0041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2C23" w14:textId="77777777" w:rsidR="008479B6" w:rsidRDefault="008479B6" w:rsidP="00412579">
      <w:pPr>
        <w:spacing w:after="0" w:line="240" w:lineRule="auto"/>
      </w:pPr>
      <w:r>
        <w:separator/>
      </w:r>
    </w:p>
  </w:footnote>
  <w:footnote w:type="continuationSeparator" w:id="0">
    <w:p w14:paraId="3C8D7A1D" w14:textId="77777777" w:rsidR="008479B6" w:rsidRDefault="008479B6" w:rsidP="0041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1393" w14:textId="286D9212" w:rsidR="00412579" w:rsidRPr="00121EF1" w:rsidRDefault="00121EF1">
    <w:pPr>
      <w:pStyle w:val="Header"/>
      <w:rPr>
        <w:rFonts w:ascii="Times New Roman" w:hAnsi="Times New Roman" w:cs="Times New Roman"/>
        <w:sz w:val="24"/>
        <w:szCs w:val="24"/>
      </w:rPr>
    </w:pPr>
    <w:r w:rsidRPr="00121EF1">
      <w:rPr>
        <w:rFonts w:ascii="Times New Roman" w:eastAsia="Times New Roman" w:hAnsi="Times New Roman" w:cs="Times New Roman"/>
        <w:color w:val="943634"/>
        <w:sz w:val="24"/>
        <w:szCs w:val="24"/>
      </w:rPr>
      <w:t>Employee</w:t>
    </w:r>
    <w:r w:rsidR="00774A9B">
      <w:rPr>
        <w:rFonts w:ascii="Times New Roman" w:eastAsia="Times New Roman" w:hAnsi="Times New Roman" w:cs="Times New Roman"/>
        <w:color w:val="943634"/>
        <w:sz w:val="24"/>
        <w:szCs w:val="24"/>
      </w:rPr>
      <w:t xml:space="preserve"> </w:t>
    </w:r>
    <w:r w:rsidRPr="00121EF1">
      <w:rPr>
        <w:rFonts w:ascii="Times New Roman" w:eastAsia="Times New Roman" w:hAnsi="Times New Roman" w:cs="Times New Roman"/>
        <w:color w:val="943634"/>
        <w:sz w:val="24"/>
        <w:szCs w:val="24"/>
      </w:rPr>
      <w:t>Travel</w:t>
    </w:r>
    <w:r w:rsidR="00774A9B">
      <w:rPr>
        <w:rFonts w:ascii="Times New Roman" w:eastAsia="Times New Roman" w:hAnsi="Times New Roman" w:cs="Times New Roman"/>
        <w:color w:val="943634"/>
        <w:sz w:val="24"/>
        <w:szCs w:val="24"/>
      </w:rPr>
      <w:t xml:space="preserve"> </w:t>
    </w:r>
    <w:r w:rsidRPr="00121EF1">
      <w:rPr>
        <w:rFonts w:ascii="Times New Roman" w:eastAsia="Times New Roman" w:hAnsi="Times New Roman" w:cs="Times New Roman"/>
        <w:color w:val="943634"/>
        <w:sz w:val="24"/>
        <w:szCs w:val="24"/>
      </w:rPr>
      <w:t>Guide:</w:t>
    </w:r>
    <w:r w:rsidR="00774A9B">
      <w:rPr>
        <w:rFonts w:ascii="Times New Roman" w:eastAsia="Times New Roman" w:hAnsi="Times New Roman" w:cs="Times New Roman"/>
        <w:color w:val="943634"/>
        <w:sz w:val="24"/>
        <w:szCs w:val="24"/>
      </w:rPr>
      <w:t xml:space="preserve"> </w:t>
    </w:r>
    <w:r w:rsidRPr="00007FF1">
      <w:rPr>
        <w:rFonts w:ascii="Times New Roman" w:eastAsia="Times New Roman" w:hAnsi="Times New Roman" w:cs="Times New Roman"/>
        <w:sz w:val="24"/>
        <w:szCs w:val="24"/>
      </w:rPr>
      <w:t>Travel</w:t>
    </w:r>
    <w:r w:rsidR="00774A9B" w:rsidRPr="00007FF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07FF1">
      <w:rPr>
        <w:rFonts w:ascii="Times New Roman" w:eastAsia="Times New Roman" w:hAnsi="Times New Roman" w:cs="Times New Roman"/>
        <w:sz w:val="24"/>
        <w:szCs w:val="24"/>
      </w:rPr>
      <w:t>Requirements</w:t>
    </w:r>
    <w:r w:rsidR="00774A9B" w:rsidRPr="00007FF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07FF1">
      <w:rPr>
        <w:rFonts w:ascii="Times New Roman" w:eastAsia="Times New Roman" w:hAnsi="Times New Roman" w:cs="Times New Roman"/>
        <w:sz w:val="24"/>
        <w:szCs w:val="24"/>
      </w:rPr>
      <w:t>for</w:t>
    </w:r>
    <w:r w:rsidR="00774A9B" w:rsidRPr="00007FF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07FF1">
      <w:rPr>
        <w:rFonts w:ascii="Times New Roman" w:eastAsia="Times New Roman" w:hAnsi="Times New Roman" w:cs="Times New Roman"/>
        <w:sz w:val="24"/>
        <w:szCs w:val="24"/>
      </w:rPr>
      <w:t>Groups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3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3870"/>
    </w:tblGrid>
    <w:tr w:rsidR="00412579" w14:paraId="615B42CC" w14:textId="77777777" w:rsidTr="00412579">
      <w:tc>
        <w:tcPr>
          <w:tcW w:w="6660" w:type="dxa"/>
          <w:hideMark/>
        </w:tcPr>
        <w:p w14:paraId="3479F57D" w14:textId="77777777" w:rsidR="00412579" w:rsidRDefault="00412579" w:rsidP="00412579">
          <w:pPr>
            <w:pStyle w:val="Header"/>
          </w:pPr>
          <w:r>
            <w:rPr>
              <w:noProof/>
            </w:rPr>
            <w:drawing>
              <wp:inline distT="0" distB="0" distL="0" distR="0" wp14:anchorId="4C16C2D0" wp14:editId="203C8FD0">
                <wp:extent cx="1809750" cy="6191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E65E7C4" wp14:editId="367935CD">
                <wp:extent cx="2228850" cy="6858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hideMark/>
        </w:tcPr>
        <w:p w14:paraId="45CB9054" w14:textId="222C892C" w:rsidR="00412579" w:rsidRDefault="00412579" w:rsidP="00412579">
          <w:pPr>
            <w:spacing w:line="240" w:lineRule="auto"/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</w:pP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Office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of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the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Controller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-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Travel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Accounting</w:t>
          </w:r>
        </w:p>
        <w:p w14:paraId="2D6CD124" w14:textId="2B50A671" w:rsidR="00412579" w:rsidRDefault="00412579" w:rsidP="00412579">
          <w:pPr>
            <w:spacing w:line="240" w:lineRule="auto"/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311CD04" wp14:editId="3CF30099">
                <wp:extent cx="47625" cy="47625"/>
                <wp:effectExtent l="0" t="0" r="9525" b="9525"/>
                <wp:docPr id="13" name="Picture 13" descr="cid:image003.jpg@01CD074E.64AB16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id:image003.jpg@01CD074E.64AB16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Eastern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Washington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University</w:t>
          </w:r>
        </w:p>
        <w:p w14:paraId="42A017C3" w14:textId="279B96F5" w:rsidR="00412579" w:rsidRDefault="00412579" w:rsidP="00412579">
          <w:pPr>
            <w:spacing w:line="240" w:lineRule="auto"/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</w:pPr>
          <w:r>
            <w:rPr>
              <w:rFonts w:eastAsiaTheme="minorEastAsia"/>
              <w:noProof/>
              <w:color w:val="1F497D"/>
            </w:rPr>
            <w:drawing>
              <wp:inline distT="0" distB="0" distL="0" distR="0" wp14:anchorId="516AC7DF" wp14:editId="08828B22">
                <wp:extent cx="47625" cy="47625"/>
                <wp:effectExtent l="0" t="0" r="9525" b="9525"/>
                <wp:docPr id="12" name="Picture 12" descr="cid:image003.jpg@01CD074E.64AB16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id:image003.jpg@01CD074E.64AB16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319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Showalter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Hall,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Cheney,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WA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99004</w:t>
          </w:r>
        </w:p>
        <w:p w14:paraId="12BC6AD6" w14:textId="34DD6F87" w:rsidR="00412579" w:rsidRDefault="00412579" w:rsidP="00412579">
          <w:pPr>
            <w:spacing w:line="276" w:lineRule="auto"/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</w:pPr>
          <w:r>
            <w:rPr>
              <w:rFonts w:eastAsiaTheme="minorEastAsia"/>
              <w:noProof/>
              <w:color w:val="1F497D"/>
            </w:rPr>
            <w:drawing>
              <wp:inline distT="0" distB="0" distL="0" distR="0" wp14:anchorId="13205805" wp14:editId="5ADD61ED">
                <wp:extent cx="47625" cy="47625"/>
                <wp:effectExtent l="0" t="0" r="9525" b="9525"/>
                <wp:docPr id="11" name="Picture 11" descr="cid:image003.jpg@01CD074E.64AB16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d:image003.jpg@01CD074E.64AB16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(509)</w:t>
          </w:r>
          <w:r w:rsidR="00774A9B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  <w:t>359-2249</w:t>
          </w:r>
        </w:p>
      </w:tc>
    </w:tr>
  </w:tbl>
  <w:p w14:paraId="051E68A6" w14:textId="77777777" w:rsidR="00412579" w:rsidRDefault="0041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82B"/>
    <w:multiLevelType w:val="hybridMultilevel"/>
    <w:tmpl w:val="1840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BE6"/>
    <w:multiLevelType w:val="hybridMultilevel"/>
    <w:tmpl w:val="8140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12CA"/>
    <w:multiLevelType w:val="multilevel"/>
    <w:tmpl w:val="193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B5"/>
    <w:rsid w:val="00007FF1"/>
    <w:rsid w:val="00121EF1"/>
    <w:rsid w:val="003D4A98"/>
    <w:rsid w:val="00412579"/>
    <w:rsid w:val="00513BE8"/>
    <w:rsid w:val="00745BAB"/>
    <w:rsid w:val="00750212"/>
    <w:rsid w:val="00774A9B"/>
    <w:rsid w:val="008479B6"/>
    <w:rsid w:val="00B23445"/>
    <w:rsid w:val="00E429B5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756D"/>
  <w15:chartTrackingRefBased/>
  <w15:docId w15:val="{0C7CD123-FC7E-4315-A706-EF284BAC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98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513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98"/>
  </w:style>
  <w:style w:type="table" w:styleId="TableGrid">
    <w:name w:val="Table Grid"/>
    <w:basedOn w:val="TableNormal"/>
    <w:uiPriority w:val="39"/>
    <w:rsid w:val="003D4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98"/>
  </w:style>
  <w:style w:type="character" w:styleId="Hyperlink">
    <w:name w:val="Hyperlink"/>
    <w:basedOn w:val="DefaultParagraphFont"/>
    <w:uiPriority w:val="99"/>
    <w:unhideWhenUsed/>
    <w:rsid w:val="00121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E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13B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7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ewu.edu/financialservices/wp-content/uploads/sites/44/2023/01/EWU-Request-Quickstart-Guide-v09-22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side.ewu.edu/procurement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ewu.edu/financialservices/wp-content/uploads/sites/44/2023/01/Group-Travel-Roster-and-Receipt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fm.wa.gov/policy/10.9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sites/default/files/public/legacy/policy/10.40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James</dc:creator>
  <cp:keywords/>
  <dc:description/>
  <cp:lastModifiedBy>Felicijan, Tammy</cp:lastModifiedBy>
  <cp:revision>3</cp:revision>
  <dcterms:created xsi:type="dcterms:W3CDTF">2022-12-22T00:23:00Z</dcterms:created>
  <dcterms:modified xsi:type="dcterms:W3CDTF">2023-01-19T21:28:00Z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23f5509a-a7e3-4738-81c8-4c19505abd97</vt:lpwstr>
  </property>
</Properties>
</file>