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C8164" w14:textId="1556DA11" w:rsidR="00805D92" w:rsidRPr="00F007E1" w:rsidRDefault="00370240">
      <w:pPr>
        <w:pStyle w:val="BodyText"/>
        <w:spacing w:before="82"/>
        <w:ind w:left="220"/>
        <w:rPr>
          <w:sz w:val="32"/>
          <w:szCs w:val="32"/>
        </w:rPr>
      </w:pPr>
      <w:r w:rsidRPr="00F007E1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6AA5E2F" wp14:editId="20EBF809">
            <wp:simplePos x="0" y="0"/>
            <wp:positionH relativeFrom="column">
              <wp:posOffset>6606540</wp:posOffset>
            </wp:positionH>
            <wp:positionV relativeFrom="paragraph">
              <wp:posOffset>-3175</wp:posOffset>
            </wp:positionV>
            <wp:extent cx="1901825" cy="607060"/>
            <wp:effectExtent l="0" t="0" r="0" b="0"/>
            <wp:wrapNone/>
            <wp:docPr id="2" name="Picture 2" descr="EWU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WU_LOGO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21F" w:rsidRPr="00F007E1">
        <w:rPr>
          <w:sz w:val="32"/>
          <w:szCs w:val="32"/>
        </w:rPr>
        <w:t>GE Course Submission Worksheet</w:t>
      </w:r>
      <w:r w:rsidR="00F007E1" w:rsidRPr="00F007E1">
        <w:rPr>
          <w:sz w:val="32"/>
          <w:szCs w:val="32"/>
        </w:rPr>
        <w:t>, Global and Diversity</w:t>
      </w:r>
      <w:r w:rsidR="00F007E1">
        <w:rPr>
          <w:sz w:val="32"/>
          <w:szCs w:val="32"/>
        </w:rPr>
        <w:t xml:space="preserve"> Courses</w:t>
      </w:r>
    </w:p>
    <w:p w14:paraId="092CA6E2" w14:textId="77777777" w:rsidR="00805D92" w:rsidRDefault="00805D92">
      <w:pPr>
        <w:rPr>
          <w:sz w:val="20"/>
        </w:rPr>
      </w:pPr>
    </w:p>
    <w:p w14:paraId="110ADF81" w14:textId="77777777" w:rsidR="00805D92" w:rsidRDefault="00805D92">
      <w:pPr>
        <w:rPr>
          <w:sz w:val="20"/>
        </w:rPr>
      </w:pPr>
    </w:p>
    <w:p w14:paraId="692D2291" w14:textId="77777777" w:rsidR="00805D92" w:rsidRDefault="00805D92">
      <w:pPr>
        <w:spacing w:before="7"/>
        <w:rPr>
          <w:sz w:val="13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20"/>
        <w:gridCol w:w="10710"/>
      </w:tblGrid>
      <w:tr w:rsidR="00805D92" w:rsidRPr="00F007E1" w14:paraId="00088B29" w14:textId="77777777" w:rsidTr="00F007E1">
        <w:trPr>
          <w:trHeight w:val="932"/>
        </w:trPr>
        <w:tc>
          <w:tcPr>
            <w:tcW w:w="2520" w:type="dxa"/>
          </w:tcPr>
          <w:p w14:paraId="0393F231" w14:textId="77777777" w:rsidR="00805D92" w:rsidRPr="00F007E1" w:rsidRDefault="000F421F">
            <w:pPr>
              <w:pStyle w:val="TableParagraph"/>
              <w:spacing w:line="234" w:lineRule="exact"/>
              <w:rPr>
                <w:b/>
                <w:sz w:val="16"/>
                <w:szCs w:val="16"/>
              </w:rPr>
            </w:pPr>
            <w:r w:rsidRPr="00F007E1">
              <w:rPr>
                <w:b/>
                <w:sz w:val="16"/>
                <w:szCs w:val="16"/>
              </w:rPr>
              <w:t>Course title/number</w:t>
            </w:r>
          </w:p>
        </w:tc>
        <w:tc>
          <w:tcPr>
            <w:tcW w:w="10710" w:type="dxa"/>
          </w:tcPr>
          <w:p w14:paraId="5DBEE949" w14:textId="77777777" w:rsidR="00805D92" w:rsidRPr="00F007E1" w:rsidRDefault="00805D92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  <w:tr w:rsidR="00C37991" w:rsidRPr="00F007E1" w14:paraId="62A8832A" w14:textId="77777777" w:rsidTr="00F007E1">
        <w:trPr>
          <w:trHeight w:val="932"/>
        </w:trPr>
        <w:tc>
          <w:tcPr>
            <w:tcW w:w="2520" w:type="dxa"/>
            <w:shd w:val="clear" w:color="auto" w:fill="B6B5DD" w:themeFill="accent2" w:themeFillTint="99"/>
          </w:tcPr>
          <w:p w14:paraId="7247CD6C" w14:textId="75123468" w:rsidR="00B17A53" w:rsidRPr="00B17A53" w:rsidRDefault="00C37991" w:rsidP="00B17A53">
            <w:pPr>
              <w:rPr>
                <w:color w:val="000000" w:themeColor="text1"/>
                <w:sz w:val="16"/>
                <w:szCs w:val="16"/>
              </w:rPr>
            </w:pPr>
            <w:r w:rsidRPr="00F007E1">
              <w:rPr>
                <w:b/>
                <w:sz w:val="16"/>
                <w:szCs w:val="16"/>
              </w:rPr>
              <w:t>Prerequisites</w:t>
            </w:r>
            <w:r w:rsidR="00B17A53">
              <w:rPr>
                <w:b/>
                <w:sz w:val="16"/>
                <w:szCs w:val="16"/>
              </w:rPr>
              <w:t xml:space="preserve">:  </w:t>
            </w:r>
            <w:r w:rsidR="00B17A53" w:rsidRPr="00B17A53">
              <w:rPr>
                <w:rFonts w:eastAsia="Times New Roman" w:cs="Calibri"/>
                <w:color w:val="000000"/>
                <w:sz w:val="16"/>
                <w:szCs w:val="16"/>
              </w:rPr>
              <w:t>In general, CPAC expects 200-level courses to have prerequisites related to completion of introductory courses such as Math or English competency.  Prerequisites for 300-level courses generally allow a student to have a competent background to be successful in the course, such as having Math or English proficiency.</w:t>
            </w:r>
            <w:r w:rsidR="00B17A53">
              <w:rPr>
                <w:rFonts w:eastAsia="Times New Roman" w:cs="Calibri"/>
                <w:color w:val="000000"/>
                <w:sz w:val="16"/>
                <w:szCs w:val="16"/>
              </w:rPr>
              <w:t xml:space="preserve">  </w:t>
            </w:r>
            <w:r w:rsidR="00B17A53" w:rsidRPr="00B17A53">
              <w:rPr>
                <w:rFonts w:eastAsia="Times New Roman" w:cs="Calibri"/>
                <w:color w:val="000000"/>
                <w:sz w:val="16"/>
                <w:szCs w:val="16"/>
              </w:rPr>
              <w:t>General education courses</w:t>
            </w:r>
            <w:r w:rsidR="00B17A53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="00B17A53" w:rsidRPr="00B17A53">
              <w:rPr>
                <w:rFonts w:eastAsia="Times New Roman" w:cs="Calibri"/>
                <w:color w:val="000000"/>
                <w:sz w:val="16"/>
                <w:szCs w:val="16"/>
              </w:rPr>
              <w:t>may </w:t>
            </w:r>
            <w:r w:rsidR="00B17A53" w:rsidRPr="00B17A53">
              <w:rPr>
                <w:rFonts w:eastAsia="Times New Roman" w:cs="Calibri"/>
                <w:i/>
                <w:iCs/>
                <w:color w:val="000000"/>
                <w:sz w:val="16"/>
                <w:szCs w:val="16"/>
              </w:rPr>
              <w:t>not</w:t>
            </w:r>
            <w:r w:rsidR="00B17A53" w:rsidRPr="00B17A53">
              <w:rPr>
                <w:rFonts w:eastAsia="Times New Roman" w:cs="Calibri"/>
                <w:color w:val="000000"/>
                <w:sz w:val="16"/>
                <w:szCs w:val="16"/>
              </w:rPr>
              <w:t> require admission to a program as a prerequisite.</w:t>
            </w:r>
          </w:p>
          <w:p w14:paraId="62CF5E1D" w14:textId="68FDF909" w:rsidR="00C37991" w:rsidRPr="00F007E1" w:rsidRDefault="00C37991" w:rsidP="00B17A53">
            <w:pPr>
              <w:pStyle w:val="TableParagraph"/>
              <w:ind w:left="101"/>
              <w:rPr>
                <w:b/>
                <w:sz w:val="16"/>
                <w:szCs w:val="16"/>
              </w:rPr>
            </w:pPr>
          </w:p>
          <w:p w14:paraId="485A5D8C" w14:textId="77777777" w:rsidR="00C37991" w:rsidRPr="00F007E1" w:rsidRDefault="00C37991">
            <w:pPr>
              <w:pStyle w:val="TableParagraph"/>
              <w:spacing w:line="234" w:lineRule="exact"/>
              <w:rPr>
                <w:b/>
                <w:sz w:val="16"/>
                <w:szCs w:val="16"/>
              </w:rPr>
            </w:pPr>
          </w:p>
        </w:tc>
        <w:tc>
          <w:tcPr>
            <w:tcW w:w="10710" w:type="dxa"/>
            <w:shd w:val="clear" w:color="auto" w:fill="B6B5DD" w:themeFill="accent2" w:themeFillTint="99"/>
          </w:tcPr>
          <w:p w14:paraId="4DC39143" w14:textId="77777777" w:rsidR="00C37991" w:rsidRPr="00F007E1" w:rsidRDefault="00C37991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  <w:tr w:rsidR="00C37991" w:rsidRPr="00F007E1" w14:paraId="5D0F6BBB" w14:textId="77777777" w:rsidTr="00F007E1">
        <w:trPr>
          <w:trHeight w:val="1384"/>
        </w:trPr>
        <w:tc>
          <w:tcPr>
            <w:tcW w:w="2520" w:type="dxa"/>
          </w:tcPr>
          <w:p w14:paraId="19A23C33" w14:textId="77777777" w:rsidR="003B68FD" w:rsidRDefault="00C37991" w:rsidP="00C37991">
            <w:pPr>
              <w:pStyle w:val="TableParagraph"/>
              <w:spacing w:before="1"/>
              <w:ind w:right="244"/>
              <w:rPr>
                <w:b/>
                <w:sz w:val="16"/>
                <w:szCs w:val="16"/>
              </w:rPr>
            </w:pPr>
            <w:r w:rsidRPr="00F007E1">
              <w:rPr>
                <w:b/>
                <w:sz w:val="16"/>
                <w:szCs w:val="16"/>
              </w:rPr>
              <w:t xml:space="preserve">Course description </w:t>
            </w:r>
          </w:p>
          <w:p w14:paraId="75BCDB90" w14:textId="7ECCE69F" w:rsidR="00C37991" w:rsidRPr="00F007E1" w:rsidRDefault="003B68FD" w:rsidP="00C37991">
            <w:pPr>
              <w:pStyle w:val="TableParagraph"/>
              <w:spacing w:before="1"/>
              <w:ind w:right="244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C37991" w:rsidRPr="003B68FD">
              <w:rPr>
                <w:sz w:val="16"/>
                <w:szCs w:val="16"/>
              </w:rPr>
              <w:t>or the catalog</w:t>
            </w:r>
            <w:r w:rsidR="00C37991" w:rsidRPr="00F007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710" w:type="dxa"/>
          </w:tcPr>
          <w:p w14:paraId="6940266F" w14:textId="77777777" w:rsidR="00C37991" w:rsidRPr="00F007E1" w:rsidRDefault="00C37991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  <w:tr w:rsidR="00C37991" w:rsidRPr="00F007E1" w14:paraId="245FA64D" w14:textId="77777777" w:rsidTr="00F007E1">
        <w:trPr>
          <w:trHeight w:val="1384"/>
        </w:trPr>
        <w:tc>
          <w:tcPr>
            <w:tcW w:w="2520" w:type="dxa"/>
            <w:shd w:val="clear" w:color="auto" w:fill="B6B5DD" w:themeFill="accent2" w:themeFillTint="99"/>
          </w:tcPr>
          <w:p w14:paraId="33A4C4FE" w14:textId="55574A15" w:rsidR="00C37991" w:rsidRPr="00F007E1" w:rsidRDefault="00A4139A" w:rsidP="00A4139A">
            <w:pPr>
              <w:pStyle w:val="TableParagraph"/>
              <w:spacing w:before="1"/>
              <w:ind w:right="244"/>
              <w:rPr>
                <w:rFonts w:cs="Calibri"/>
                <w:b/>
                <w:sz w:val="16"/>
                <w:szCs w:val="16"/>
              </w:rPr>
            </w:pPr>
            <w:r w:rsidRPr="00F007E1">
              <w:rPr>
                <w:rFonts w:cs="Calibri"/>
                <w:b/>
                <w:sz w:val="16"/>
                <w:szCs w:val="16"/>
              </w:rPr>
              <w:t xml:space="preserve">Satisfies: </w:t>
            </w:r>
            <w:r w:rsidR="00C37991" w:rsidRPr="00F007E1">
              <w:rPr>
                <w:rFonts w:cs="Calibri"/>
                <w:sz w:val="16"/>
                <w:szCs w:val="16"/>
              </w:rPr>
              <w:t xml:space="preserve">Each Global Studies and Diversity course addresses 1 GE outcome from </w:t>
            </w:r>
            <w:r w:rsidR="00F007E1">
              <w:rPr>
                <w:rFonts w:cs="Calibri"/>
                <w:sz w:val="16"/>
                <w:szCs w:val="16"/>
              </w:rPr>
              <w:t>the following:</w:t>
            </w:r>
          </w:p>
          <w:p w14:paraId="5E5CE3A0" w14:textId="77777777" w:rsidR="00F007E1" w:rsidRDefault="00F007E1" w:rsidP="00C37991">
            <w:pPr>
              <w:pStyle w:val="TableParagraph"/>
              <w:spacing w:before="1"/>
              <w:ind w:right="244"/>
              <w:rPr>
                <w:rFonts w:eastAsia="Times New Roman" w:cs="Calibri"/>
                <w:b/>
                <w:color w:val="333333"/>
                <w:sz w:val="16"/>
                <w:szCs w:val="16"/>
                <w:shd w:val="clear" w:color="auto" w:fill="B6B5DD" w:themeFill="accent2" w:themeFillTint="99"/>
              </w:rPr>
            </w:pPr>
            <w:r>
              <w:rPr>
                <w:rFonts w:eastAsia="Times New Roman" w:cs="Calibri"/>
                <w:b/>
                <w:color w:val="333333"/>
                <w:sz w:val="16"/>
                <w:szCs w:val="16"/>
                <w:shd w:val="clear" w:color="auto" w:fill="B6B5DD" w:themeFill="accent2" w:themeFillTint="99"/>
              </w:rPr>
              <w:t>-</w:t>
            </w:r>
            <w:r w:rsidR="00C37991" w:rsidRPr="00F007E1">
              <w:rPr>
                <w:rFonts w:eastAsia="Times New Roman" w:cs="Calibri"/>
                <w:b/>
                <w:color w:val="333333"/>
                <w:sz w:val="16"/>
                <w:szCs w:val="16"/>
                <w:shd w:val="clear" w:color="auto" w:fill="B6B5DD" w:themeFill="accent2" w:themeFillTint="99"/>
              </w:rPr>
              <w:t xml:space="preserve">Analytical Thinking, </w:t>
            </w:r>
          </w:p>
          <w:p w14:paraId="642F20DF" w14:textId="77777777" w:rsidR="00F007E1" w:rsidRDefault="00F007E1" w:rsidP="00C37991">
            <w:pPr>
              <w:pStyle w:val="TableParagraph"/>
              <w:spacing w:before="1"/>
              <w:ind w:right="244"/>
              <w:rPr>
                <w:rFonts w:eastAsia="Times New Roman" w:cs="Calibri"/>
                <w:b/>
                <w:color w:val="333333"/>
                <w:sz w:val="16"/>
                <w:szCs w:val="16"/>
                <w:shd w:val="clear" w:color="auto" w:fill="B6B5DD" w:themeFill="accent2" w:themeFillTint="99"/>
              </w:rPr>
            </w:pPr>
            <w:r>
              <w:rPr>
                <w:rFonts w:eastAsia="Times New Roman" w:cs="Calibri"/>
                <w:b/>
                <w:color w:val="333333"/>
                <w:sz w:val="16"/>
                <w:szCs w:val="16"/>
                <w:shd w:val="clear" w:color="auto" w:fill="B6B5DD" w:themeFill="accent2" w:themeFillTint="99"/>
              </w:rPr>
              <w:t>-</w:t>
            </w:r>
            <w:r w:rsidR="00C37991" w:rsidRPr="00F007E1">
              <w:rPr>
                <w:rFonts w:eastAsia="Times New Roman" w:cs="Calibri"/>
                <w:b/>
                <w:color w:val="333333"/>
                <w:sz w:val="16"/>
                <w:szCs w:val="16"/>
                <w:shd w:val="clear" w:color="auto" w:fill="B6B5DD" w:themeFill="accent2" w:themeFillTint="99"/>
              </w:rPr>
              <w:t xml:space="preserve">Creative Thinking </w:t>
            </w:r>
          </w:p>
          <w:p w14:paraId="532618DE" w14:textId="3096E41F" w:rsidR="00C37991" w:rsidRPr="00F007E1" w:rsidRDefault="00F007E1" w:rsidP="00C37991">
            <w:pPr>
              <w:pStyle w:val="TableParagraph"/>
              <w:spacing w:before="1"/>
              <w:ind w:right="244"/>
              <w:rPr>
                <w:b/>
                <w:sz w:val="16"/>
                <w:szCs w:val="16"/>
              </w:rPr>
            </w:pPr>
            <w:r>
              <w:rPr>
                <w:rFonts w:eastAsia="Times New Roman" w:cs="Calibri"/>
                <w:b/>
                <w:color w:val="333333"/>
                <w:sz w:val="16"/>
                <w:szCs w:val="16"/>
                <w:shd w:val="clear" w:color="auto" w:fill="B6B5DD" w:themeFill="accent2" w:themeFillTint="99"/>
              </w:rPr>
              <w:t>-</w:t>
            </w:r>
            <w:r w:rsidR="00C37991" w:rsidRPr="00F007E1">
              <w:rPr>
                <w:rFonts w:eastAsia="Times New Roman" w:cs="Calibri"/>
                <w:b/>
                <w:color w:val="333333"/>
                <w:sz w:val="16"/>
                <w:szCs w:val="16"/>
                <w:shd w:val="clear" w:color="auto" w:fill="B6B5DD" w:themeFill="accent2" w:themeFillTint="99"/>
              </w:rPr>
              <w:t>Information Literacy</w:t>
            </w:r>
          </w:p>
        </w:tc>
        <w:tc>
          <w:tcPr>
            <w:tcW w:w="10710" w:type="dxa"/>
            <w:shd w:val="clear" w:color="auto" w:fill="B6B5DD" w:themeFill="accent2" w:themeFillTint="99"/>
          </w:tcPr>
          <w:p w14:paraId="7794D942" w14:textId="77777777" w:rsidR="00C37991" w:rsidRPr="00F007E1" w:rsidRDefault="00C37991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  <w:tr w:rsidR="00805D92" w:rsidRPr="00F007E1" w14:paraId="4CC9404B" w14:textId="77777777" w:rsidTr="00F007E1">
        <w:trPr>
          <w:trHeight w:val="4504"/>
        </w:trPr>
        <w:tc>
          <w:tcPr>
            <w:tcW w:w="2520" w:type="dxa"/>
          </w:tcPr>
          <w:p w14:paraId="047B8C0D" w14:textId="1FDD733E" w:rsidR="00805D92" w:rsidRPr="00F007E1" w:rsidRDefault="000F421F" w:rsidP="00C37991">
            <w:pPr>
              <w:pStyle w:val="TableParagraph"/>
              <w:spacing w:before="1"/>
              <w:ind w:right="134"/>
              <w:rPr>
                <w:b/>
                <w:sz w:val="16"/>
                <w:szCs w:val="16"/>
              </w:rPr>
            </w:pPr>
            <w:r w:rsidRPr="00F007E1">
              <w:rPr>
                <w:b/>
                <w:w w:val="95"/>
                <w:sz w:val="16"/>
                <w:szCs w:val="16"/>
              </w:rPr>
              <w:lastRenderedPageBreak/>
              <w:t xml:space="preserve">Explanation/Justification </w:t>
            </w:r>
            <w:r w:rsidRPr="00F007E1">
              <w:rPr>
                <w:b/>
                <w:sz w:val="16"/>
                <w:szCs w:val="16"/>
              </w:rPr>
              <w:t>of why this course belongs in the proposed</w:t>
            </w:r>
            <w:r w:rsidR="00C37991" w:rsidRPr="00F007E1">
              <w:rPr>
                <w:b/>
                <w:sz w:val="16"/>
                <w:szCs w:val="16"/>
              </w:rPr>
              <w:t xml:space="preserve"> </w:t>
            </w:r>
            <w:r w:rsidRPr="00F007E1">
              <w:rPr>
                <w:b/>
                <w:sz w:val="16"/>
                <w:szCs w:val="16"/>
              </w:rPr>
              <w:t>area</w:t>
            </w:r>
            <w:r w:rsidR="00C37991" w:rsidRPr="00F007E1">
              <w:rPr>
                <w:b/>
                <w:sz w:val="16"/>
                <w:szCs w:val="16"/>
              </w:rPr>
              <w:t xml:space="preserve">, </w:t>
            </w:r>
            <w:r w:rsidR="00C37991" w:rsidRPr="00F007E1">
              <w:rPr>
                <w:color w:val="000000" w:themeColor="text1"/>
                <w:sz w:val="16"/>
                <w:szCs w:val="16"/>
              </w:rPr>
              <w:t xml:space="preserve">thoroughly explaining </w:t>
            </w:r>
            <w:r w:rsidR="00C37991" w:rsidRPr="00F007E1">
              <w:rPr>
                <w:rFonts w:cs="Times New Roman"/>
                <w:color w:val="000000" w:themeColor="text1"/>
                <w:sz w:val="16"/>
                <w:szCs w:val="16"/>
              </w:rPr>
              <w:t xml:space="preserve">and addressing </w:t>
            </w:r>
            <w:r w:rsidR="00C37991" w:rsidRPr="00F007E1">
              <w:rPr>
                <w:rFonts w:cs="Times New Roman"/>
                <w:color w:val="000000" w:themeColor="text1"/>
                <w:sz w:val="16"/>
                <w:szCs w:val="16"/>
                <w:u w:val="single"/>
              </w:rPr>
              <w:t>all</w:t>
            </w:r>
            <w:r w:rsidR="00C37991" w:rsidRPr="00F007E1">
              <w:rPr>
                <w:rFonts w:cs="Times New Roman"/>
                <w:color w:val="000000" w:themeColor="text1"/>
                <w:sz w:val="16"/>
                <w:szCs w:val="16"/>
              </w:rPr>
              <w:t xml:space="preserve"> criteria with sufficient details for the reviewing committee</w:t>
            </w:r>
          </w:p>
        </w:tc>
        <w:tc>
          <w:tcPr>
            <w:tcW w:w="10710" w:type="dxa"/>
          </w:tcPr>
          <w:p w14:paraId="12B88B6B" w14:textId="77777777" w:rsidR="00805D92" w:rsidRPr="00F007E1" w:rsidRDefault="00805D92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  <w:tr w:rsidR="00805D92" w:rsidRPr="00F007E1" w14:paraId="284B8E14" w14:textId="77777777" w:rsidTr="00F007E1">
        <w:trPr>
          <w:trHeight w:val="2998"/>
        </w:trPr>
        <w:tc>
          <w:tcPr>
            <w:tcW w:w="2520" w:type="dxa"/>
            <w:shd w:val="clear" w:color="auto" w:fill="B6B5DD" w:themeFill="accent2" w:themeFillTint="99"/>
          </w:tcPr>
          <w:p w14:paraId="5FB44E77" w14:textId="5BED11EF" w:rsidR="00805D92" w:rsidRPr="00F007E1" w:rsidRDefault="000F421F">
            <w:pPr>
              <w:pStyle w:val="TableParagraph"/>
              <w:spacing w:before="1"/>
              <w:ind w:right="134"/>
              <w:rPr>
                <w:b/>
                <w:sz w:val="16"/>
                <w:szCs w:val="16"/>
              </w:rPr>
            </w:pPr>
            <w:r w:rsidRPr="00F007E1">
              <w:rPr>
                <w:b/>
                <w:sz w:val="16"/>
                <w:szCs w:val="16"/>
              </w:rPr>
              <w:t>Explanation of how the GE Learning Outcome you will address connect</w:t>
            </w:r>
            <w:r w:rsidR="003B68FD">
              <w:rPr>
                <w:b/>
                <w:sz w:val="16"/>
                <w:szCs w:val="16"/>
              </w:rPr>
              <w:t>s</w:t>
            </w:r>
          </w:p>
          <w:p w14:paraId="2333278A" w14:textId="77777777" w:rsidR="00805D92" w:rsidRPr="00F007E1" w:rsidRDefault="000F421F">
            <w:pPr>
              <w:pStyle w:val="TableParagraph"/>
              <w:spacing w:line="213" w:lineRule="exact"/>
              <w:rPr>
                <w:b/>
                <w:sz w:val="16"/>
                <w:szCs w:val="16"/>
              </w:rPr>
            </w:pPr>
            <w:r w:rsidRPr="00F007E1">
              <w:rPr>
                <w:b/>
                <w:sz w:val="16"/>
                <w:szCs w:val="16"/>
              </w:rPr>
              <w:t>to your course content</w:t>
            </w:r>
            <w:r w:rsidR="00C37991" w:rsidRPr="00F007E1">
              <w:rPr>
                <w:b/>
                <w:sz w:val="16"/>
                <w:szCs w:val="16"/>
              </w:rPr>
              <w:t xml:space="preserve">. </w:t>
            </w:r>
          </w:p>
          <w:p w14:paraId="7C8099B8" w14:textId="43D60559" w:rsidR="00C37991" w:rsidRPr="00F007E1" w:rsidRDefault="00C37991" w:rsidP="00C37991">
            <w:pPr>
              <w:rPr>
                <w:sz w:val="16"/>
                <w:szCs w:val="16"/>
              </w:rPr>
            </w:pPr>
            <w:r w:rsidRPr="00F007E1">
              <w:rPr>
                <w:rFonts w:cs="Calibri"/>
                <w:color w:val="000000" w:themeColor="text1"/>
                <w:sz w:val="16"/>
                <w:szCs w:val="16"/>
              </w:rPr>
              <w:t xml:space="preserve">Write a short description explaining how the GE SLO you will address </w:t>
            </w:r>
            <w:r w:rsidRPr="00F007E1">
              <w:rPr>
                <w:rFonts w:cs="Calibri"/>
                <w:color w:val="000000" w:themeColor="text1"/>
                <w:sz w:val="16"/>
                <w:szCs w:val="16"/>
                <w:u w:val="single"/>
              </w:rPr>
              <w:t>specifically</w:t>
            </w:r>
            <w:r w:rsidRPr="00F007E1">
              <w:rPr>
                <w:rFonts w:cs="Calibri"/>
                <w:color w:val="000000" w:themeColor="text1"/>
                <w:sz w:val="16"/>
                <w:szCs w:val="16"/>
              </w:rPr>
              <w:t xml:space="preserve"> connects to your course content.</w:t>
            </w:r>
          </w:p>
          <w:p w14:paraId="6C9617B6" w14:textId="77777777" w:rsidR="00C37991" w:rsidRPr="00F007E1" w:rsidRDefault="00C37991">
            <w:pPr>
              <w:pStyle w:val="TableParagraph"/>
              <w:spacing w:line="213" w:lineRule="exact"/>
              <w:rPr>
                <w:b/>
                <w:sz w:val="16"/>
                <w:szCs w:val="16"/>
              </w:rPr>
            </w:pPr>
          </w:p>
        </w:tc>
        <w:tc>
          <w:tcPr>
            <w:tcW w:w="10710" w:type="dxa"/>
            <w:shd w:val="clear" w:color="auto" w:fill="B6B5DD" w:themeFill="accent2" w:themeFillTint="99"/>
          </w:tcPr>
          <w:p w14:paraId="5518824C" w14:textId="77777777" w:rsidR="00805D92" w:rsidRPr="00F007E1" w:rsidRDefault="00805D92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  <w:tr w:rsidR="00805D92" w:rsidRPr="00F007E1" w14:paraId="299C4CFD" w14:textId="77777777" w:rsidTr="00F007E1">
        <w:trPr>
          <w:trHeight w:val="2245"/>
        </w:trPr>
        <w:tc>
          <w:tcPr>
            <w:tcW w:w="2520" w:type="dxa"/>
          </w:tcPr>
          <w:p w14:paraId="75966164" w14:textId="77777777" w:rsidR="00805D92" w:rsidRPr="00F007E1" w:rsidRDefault="000F421F">
            <w:pPr>
              <w:pStyle w:val="TableParagraph"/>
              <w:spacing w:before="1"/>
              <w:ind w:right="86"/>
              <w:rPr>
                <w:b/>
                <w:sz w:val="16"/>
                <w:szCs w:val="16"/>
              </w:rPr>
            </w:pPr>
            <w:r w:rsidRPr="00F007E1">
              <w:rPr>
                <w:b/>
                <w:sz w:val="16"/>
                <w:szCs w:val="16"/>
              </w:rPr>
              <w:t>Complex assignment that teaches GE Learning</w:t>
            </w:r>
          </w:p>
          <w:p w14:paraId="25232826" w14:textId="77777777" w:rsidR="00805D92" w:rsidRPr="00F007E1" w:rsidRDefault="000F421F">
            <w:pPr>
              <w:pStyle w:val="TableParagraph"/>
              <w:spacing w:line="212" w:lineRule="exact"/>
              <w:rPr>
                <w:b/>
                <w:sz w:val="16"/>
                <w:szCs w:val="16"/>
              </w:rPr>
            </w:pPr>
            <w:r w:rsidRPr="00F007E1">
              <w:rPr>
                <w:b/>
                <w:sz w:val="16"/>
                <w:szCs w:val="16"/>
              </w:rPr>
              <w:t>Outcome</w:t>
            </w:r>
            <w:r w:rsidR="00C37991" w:rsidRPr="00F007E1">
              <w:rPr>
                <w:b/>
                <w:sz w:val="16"/>
                <w:szCs w:val="16"/>
              </w:rPr>
              <w:t xml:space="preserve"> </w:t>
            </w:r>
          </w:p>
          <w:p w14:paraId="50C80628" w14:textId="77777777" w:rsidR="00C37991" w:rsidRPr="00F007E1" w:rsidRDefault="00C37991" w:rsidP="00C37991">
            <w:pPr>
              <w:rPr>
                <w:rFonts w:eastAsia="Times New Roman" w:cs="Calibri"/>
                <w:color w:val="333333"/>
                <w:sz w:val="16"/>
                <w:szCs w:val="16"/>
                <w:shd w:val="clear" w:color="auto" w:fill="FFFFFF"/>
              </w:rPr>
            </w:pPr>
            <w:r w:rsidRPr="00F007E1">
              <w:rPr>
                <w:rFonts w:cs="Calibri"/>
                <w:sz w:val="16"/>
                <w:szCs w:val="16"/>
              </w:rPr>
              <w:t xml:space="preserve">A complex </w:t>
            </w:r>
            <w:r w:rsidRPr="00F007E1">
              <w:rPr>
                <w:rFonts w:eastAsia="Times New Roman" w:cs="Calibri"/>
                <w:color w:val="333333"/>
                <w:sz w:val="16"/>
                <w:szCs w:val="16"/>
                <w:shd w:val="clear" w:color="auto" w:fill="FFFFFF"/>
              </w:rPr>
              <w:t>assignment is a multi-stage assignment. It has multiple components that require the instructor to provide formative feedback throughout the assignment completion process.</w:t>
            </w:r>
          </w:p>
          <w:p w14:paraId="24A109E5" w14:textId="7E3D6D1A" w:rsidR="00C37991" w:rsidRPr="00F007E1" w:rsidRDefault="00AA01B9" w:rsidP="00C37991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 xml:space="preserve">Explain how </w:t>
            </w:r>
            <w:r w:rsidR="00C37991" w:rsidRPr="00F007E1">
              <w:rPr>
                <w:rFonts w:cs="Calibri"/>
                <w:color w:val="000000" w:themeColor="text1"/>
                <w:sz w:val="16"/>
                <w:szCs w:val="16"/>
              </w:rPr>
              <w:t xml:space="preserve">your complex assignment addresses all of the elements in the GE Learning Outcome </w:t>
            </w:r>
            <w:r>
              <w:rPr>
                <w:rFonts w:cs="Calibri"/>
                <w:color w:val="000000" w:themeColor="text1"/>
                <w:sz w:val="16"/>
                <w:szCs w:val="16"/>
              </w:rPr>
              <w:t>as well as the</w:t>
            </w:r>
            <w:r w:rsidR="00C37991" w:rsidRPr="00F007E1">
              <w:rPr>
                <w:rFonts w:cs="Calibri"/>
                <w:color w:val="000000" w:themeColor="text1"/>
                <w:sz w:val="16"/>
                <w:szCs w:val="16"/>
              </w:rPr>
              <w:t xml:space="preserve"> proposed area criteria your course will teach. Please include information on how you plan to provide formative feedback. </w:t>
            </w:r>
          </w:p>
          <w:p w14:paraId="5105561B" w14:textId="77777777" w:rsidR="00C37991" w:rsidRPr="00F007E1" w:rsidRDefault="00C37991" w:rsidP="00C37991">
            <w:pPr>
              <w:pStyle w:val="TableParagraph"/>
              <w:spacing w:line="212" w:lineRule="exact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710" w:type="dxa"/>
          </w:tcPr>
          <w:p w14:paraId="54C52153" w14:textId="77777777" w:rsidR="00805D92" w:rsidRPr="00F007E1" w:rsidRDefault="00805D92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  <w:tr w:rsidR="00805D92" w:rsidRPr="00F007E1" w14:paraId="30E41EDC" w14:textId="77777777" w:rsidTr="00F007E1">
        <w:trPr>
          <w:trHeight w:val="1502"/>
        </w:trPr>
        <w:tc>
          <w:tcPr>
            <w:tcW w:w="2520" w:type="dxa"/>
            <w:shd w:val="clear" w:color="auto" w:fill="B6B5DD" w:themeFill="accent2" w:themeFillTint="99"/>
          </w:tcPr>
          <w:p w14:paraId="6C424599" w14:textId="375A1CDC" w:rsidR="00805D92" w:rsidRPr="00F007E1" w:rsidRDefault="000F421F" w:rsidP="00AA01B9">
            <w:pPr>
              <w:pStyle w:val="TableParagraph"/>
              <w:spacing w:before="1"/>
              <w:ind w:left="101" w:right="1037"/>
              <w:rPr>
                <w:b/>
                <w:sz w:val="16"/>
                <w:szCs w:val="16"/>
              </w:rPr>
            </w:pPr>
            <w:r w:rsidRPr="00F007E1">
              <w:rPr>
                <w:b/>
                <w:sz w:val="16"/>
                <w:szCs w:val="16"/>
              </w:rPr>
              <w:lastRenderedPageBreak/>
              <w:t>Rubric fo</w:t>
            </w:r>
            <w:r w:rsidR="00227EDE">
              <w:rPr>
                <w:b/>
                <w:sz w:val="16"/>
                <w:szCs w:val="16"/>
              </w:rPr>
              <w:t xml:space="preserve">r </w:t>
            </w:r>
            <w:bookmarkStart w:id="0" w:name="_GoBack"/>
            <w:bookmarkEnd w:id="0"/>
            <w:r w:rsidR="00C37991" w:rsidRPr="00F007E1">
              <w:rPr>
                <w:b/>
                <w:sz w:val="16"/>
                <w:szCs w:val="16"/>
              </w:rPr>
              <w:t xml:space="preserve">complex </w:t>
            </w:r>
            <w:r w:rsidRPr="00F007E1">
              <w:rPr>
                <w:b/>
                <w:sz w:val="16"/>
                <w:szCs w:val="16"/>
              </w:rPr>
              <w:t>assignment</w:t>
            </w:r>
          </w:p>
        </w:tc>
        <w:tc>
          <w:tcPr>
            <w:tcW w:w="10710" w:type="dxa"/>
            <w:shd w:val="clear" w:color="auto" w:fill="B6B5DD" w:themeFill="accent2" w:themeFillTint="99"/>
          </w:tcPr>
          <w:p w14:paraId="4574E78E" w14:textId="77777777" w:rsidR="00805D92" w:rsidRPr="00F007E1" w:rsidRDefault="00805D92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</w:tbl>
    <w:p w14:paraId="7DEA0AB9" w14:textId="77777777" w:rsidR="000F421F" w:rsidRPr="00F007E1" w:rsidRDefault="000F421F">
      <w:pPr>
        <w:rPr>
          <w:sz w:val="16"/>
          <w:szCs w:val="16"/>
        </w:rPr>
      </w:pPr>
    </w:p>
    <w:sectPr w:rsidR="000F421F" w:rsidRPr="00F007E1" w:rsidSect="00C37991">
      <w:type w:val="continuous"/>
      <w:pgSz w:w="15840" w:h="12240" w:orient="landscape"/>
      <w:pgMar w:top="640" w:right="1220" w:bottom="280" w:left="12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92"/>
    <w:rsid w:val="000B36B4"/>
    <w:rsid w:val="000F421F"/>
    <w:rsid w:val="00227EDE"/>
    <w:rsid w:val="0033118F"/>
    <w:rsid w:val="00370240"/>
    <w:rsid w:val="003B68FD"/>
    <w:rsid w:val="004E0937"/>
    <w:rsid w:val="006A345E"/>
    <w:rsid w:val="006C326A"/>
    <w:rsid w:val="00705CA5"/>
    <w:rsid w:val="00746CE1"/>
    <w:rsid w:val="00805D92"/>
    <w:rsid w:val="009134BD"/>
    <w:rsid w:val="00A4139A"/>
    <w:rsid w:val="00AA01B9"/>
    <w:rsid w:val="00B17A53"/>
    <w:rsid w:val="00C37991"/>
    <w:rsid w:val="00CC789E"/>
    <w:rsid w:val="00F0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A428"/>
  <w15:docId w15:val="{40FDC261-FA75-4E71-B9C6-AFFCC8EA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C37991"/>
    <w:rPr>
      <w:color w:val="0000FF"/>
      <w:u w:val="single"/>
    </w:rPr>
  </w:style>
  <w:style w:type="table" w:styleId="PlainTable1">
    <w:name w:val="Plain Table 1"/>
    <w:basedOn w:val="TableNormal"/>
    <w:uiPriority w:val="41"/>
    <w:rsid w:val="00F007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F0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 Bar, Ann</cp:lastModifiedBy>
  <cp:revision>4</cp:revision>
  <dcterms:created xsi:type="dcterms:W3CDTF">2019-09-10T06:54:00Z</dcterms:created>
  <dcterms:modified xsi:type="dcterms:W3CDTF">2019-09-10T06:56:00Z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2018-10-18T00:00:00Z</vt:filetime>
  </property>
</Properties>
</file>