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1562"/>
        <w:tblW w:w="13968" w:type="dxa"/>
        <w:tblLayout w:type="fixed"/>
        <w:tblLook w:val="04A0" w:firstRow="1" w:lastRow="0" w:firstColumn="1" w:lastColumn="0" w:noHBand="0" w:noVBand="1"/>
      </w:tblPr>
      <w:tblGrid>
        <w:gridCol w:w="1728"/>
        <w:gridCol w:w="2070"/>
        <w:gridCol w:w="8280"/>
        <w:gridCol w:w="1890"/>
      </w:tblGrid>
      <w:tr w:rsidR="009C623E" w:rsidRPr="00F1250E" w14:paraId="717EF666" w14:textId="77777777" w:rsidTr="009C623E">
        <w:trPr>
          <w:trHeight w:val="593"/>
        </w:trPr>
        <w:tc>
          <w:tcPr>
            <w:tcW w:w="13968" w:type="dxa"/>
            <w:gridSpan w:val="4"/>
          </w:tcPr>
          <w:p w14:paraId="2CFBC73C" w14:textId="77777777" w:rsidR="009C623E" w:rsidRDefault="009C623E" w:rsidP="009C62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 w:rsidRPr="00F1250E">
              <w:rPr>
                <w:rFonts w:asciiTheme="majorHAnsi" w:hAnsiTheme="majorHAnsi"/>
                <w:sz w:val="22"/>
                <w:szCs w:val="22"/>
              </w:rPr>
              <w:t>November</w:t>
            </w:r>
          </w:p>
          <w:p w14:paraId="452D2F5E" w14:textId="52171AC5" w:rsidR="009C623E" w:rsidRPr="00F1250E" w:rsidRDefault="009C623E" w:rsidP="009C62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*Need to collect emergency contact information for each teacher.</w:t>
            </w:r>
          </w:p>
        </w:tc>
      </w:tr>
      <w:tr w:rsidR="009C623E" w:rsidRPr="00F1250E" w14:paraId="64BF57AF" w14:textId="77777777" w:rsidTr="009C623E">
        <w:trPr>
          <w:trHeight w:val="629"/>
        </w:trPr>
        <w:tc>
          <w:tcPr>
            <w:tcW w:w="1728" w:type="dxa"/>
          </w:tcPr>
          <w:p w14:paraId="2EBF8B4F" w14:textId="13F81603" w:rsidR="009C623E" w:rsidRPr="00F1250E" w:rsidRDefault="009C623E" w:rsidP="009C62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1250E">
              <w:rPr>
                <w:rFonts w:asciiTheme="majorHAnsi" w:hAnsiTheme="majorHAnsi"/>
                <w:sz w:val="22"/>
                <w:szCs w:val="22"/>
              </w:rPr>
              <w:t>Approximate time and groupings</w:t>
            </w:r>
          </w:p>
        </w:tc>
        <w:tc>
          <w:tcPr>
            <w:tcW w:w="2070" w:type="dxa"/>
          </w:tcPr>
          <w:p w14:paraId="0550310A" w14:textId="2F713401" w:rsidR="009C623E" w:rsidRPr="00F1250E" w:rsidRDefault="009C623E" w:rsidP="009C62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1250E">
              <w:rPr>
                <w:rFonts w:asciiTheme="majorHAnsi" w:hAnsiTheme="majorHAnsi"/>
                <w:sz w:val="22"/>
                <w:szCs w:val="22"/>
              </w:rPr>
              <w:t>Designers/ Facilitators</w:t>
            </w:r>
          </w:p>
        </w:tc>
        <w:tc>
          <w:tcPr>
            <w:tcW w:w="8280" w:type="dxa"/>
          </w:tcPr>
          <w:p w14:paraId="24E4C5B5" w14:textId="77777777" w:rsidR="009C623E" w:rsidRDefault="009C623E" w:rsidP="009C62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1250E">
              <w:rPr>
                <w:rFonts w:asciiTheme="majorHAnsi" w:hAnsiTheme="majorHAnsi"/>
                <w:sz w:val="22"/>
                <w:szCs w:val="22"/>
              </w:rPr>
              <w:t xml:space="preserve">Activity &amp; Purposes </w:t>
            </w:r>
          </w:p>
          <w:p w14:paraId="70761037" w14:textId="5E062665" w:rsidR="009C623E" w:rsidRPr="00F1250E" w:rsidRDefault="009C623E" w:rsidP="009C62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E963D6C" w14:textId="6B1703BB" w:rsidR="009C623E" w:rsidRPr="00F1250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Materials</w:t>
            </w:r>
          </w:p>
        </w:tc>
      </w:tr>
      <w:tr w:rsidR="009C623E" w:rsidRPr="00F1250E" w14:paraId="66354EFF" w14:textId="77777777" w:rsidTr="009C623E">
        <w:tc>
          <w:tcPr>
            <w:tcW w:w="1728" w:type="dxa"/>
          </w:tcPr>
          <w:p w14:paraId="1B93D3BB" w14:textId="3EDFC434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7:30-8:00</w:t>
            </w:r>
          </w:p>
        </w:tc>
        <w:tc>
          <w:tcPr>
            <w:tcW w:w="2070" w:type="dxa"/>
          </w:tcPr>
          <w:p w14:paraId="112E69C7" w14:textId="2976CE3E" w:rsidR="009C623E" w:rsidRPr="00F1250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Kris</w:t>
            </w:r>
          </w:p>
        </w:tc>
        <w:tc>
          <w:tcPr>
            <w:tcW w:w="8280" w:type="dxa"/>
          </w:tcPr>
          <w:p w14:paraId="3C9CBDA7" w14:textId="4DD2E1B6" w:rsidR="009C623E" w:rsidRPr="00F1250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Introductions </w:t>
            </w:r>
            <w:r>
              <w:rPr>
                <w:rFonts w:asciiTheme="majorHAnsi" w:hAnsiTheme="majorHAnsi"/>
                <w:sz w:val="22"/>
                <w:szCs w:val="22"/>
              </w:rPr>
              <w:t>and PLC work to share their PLC work on FA</w:t>
            </w:r>
          </w:p>
        </w:tc>
        <w:tc>
          <w:tcPr>
            <w:tcW w:w="1890" w:type="dxa"/>
          </w:tcPr>
          <w:p w14:paraId="642478A5" w14:textId="636609F2" w:rsidR="009C623E" w:rsidRPr="00C23F98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PowerPoint</w:t>
            </w:r>
          </w:p>
        </w:tc>
      </w:tr>
      <w:tr w:rsidR="009C623E" w:rsidRPr="00F1250E" w14:paraId="5F96F6BE" w14:textId="77777777" w:rsidTr="009C623E">
        <w:tc>
          <w:tcPr>
            <w:tcW w:w="1728" w:type="dxa"/>
          </w:tcPr>
          <w:p w14:paraId="53BFCF38" w14:textId="77777777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8:00-9:30</w:t>
            </w:r>
            <w:r w:rsidRPr="00F1250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6246C8C" w14:textId="007D67BF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Non-PLCs</w:t>
            </w:r>
          </w:p>
        </w:tc>
        <w:tc>
          <w:tcPr>
            <w:tcW w:w="2070" w:type="dxa"/>
          </w:tcPr>
          <w:p w14:paraId="5E64FD84" w14:textId="1736B2DE" w:rsidR="009C623E" w:rsidRPr="00F1250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Janet and Kris, with each of the four leaders in charge of a group</w:t>
            </w:r>
          </w:p>
        </w:tc>
        <w:tc>
          <w:tcPr>
            <w:tcW w:w="8280" w:type="dxa"/>
          </w:tcPr>
          <w:p w14:paraId="2878B4B5" w14:textId="77777777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Change</w:t>
            </w:r>
          </w:p>
          <w:p w14:paraId="39B9573A" w14:textId="77777777" w:rsidR="009C623E" w:rsidRDefault="009C623E" w:rsidP="009C623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Teachers reflect on and share their changes and any evidence of their students’ changes.</w:t>
            </w:r>
          </w:p>
          <w:p w14:paraId="10F78533" w14:textId="77777777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 ‘change-alike’ groups, they further discuss how their planned change could effect their lesson planning and how they expect it to improve student learning of mathematics.</w:t>
            </w:r>
          </w:p>
          <w:p w14:paraId="635E95CE" w14:textId="4CEABF73" w:rsidR="00AC5CDC" w:rsidRPr="00F1250E" w:rsidRDefault="00AC5CDC" w:rsidP="00D6698E">
            <w:pPr>
              <w:rPr>
                <w:rFonts w:asciiTheme="majorHAnsi" w:hAnsiTheme="majorHAnsi"/>
                <w:sz w:val="22"/>
                <w:szCs w:val="22"/>
              </w:rPr>
            </w:pPr>
            <w:r w:rsidRPr="00512472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Peer teachers </w:t>
            </w:r>
            <w:r w:rsidR="00512472" w:rsidRPr="00512472">
              <w:rPr>
                <w:rFonts w:asciiTheme="majorHAnsi" w:hAnsiTheme="majorHAnsi"/>
                <w:sz w:val="22"/>
                <w:szCs w:val="22"/>
                <w:highlight w:val="yellow"/>
              </w:rPr>
              <w:t>help</w:t>
            </w:r>
            <w:r w:rsidRPr="00512472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pas</w:t>
            </w:r>
            <w:r w:rsidR="00512472" w:rsidRPr="00512472">
              <w:rPr>
                <w:rFonts w:asciiTheme="majorHAnsi" w:hAnsiTheme="majorHAnsi"/>
                <w:sz w:val="22"/>
                <w:szCs w:val="22"/>
                <w:highlight w:val="yellow"/>
              </w:rPr>
              <w:t>s out papers</w:t>
            </w:r>
            <w:r w:rsidR="00D6698E">
              <w:rPr>
                <w:rFonts w:asciiTheme="majorHAnsi" w:hAnsiTheme="majorHAnsi"/>
                <w:sz w:val="22"/>
                <w:szCs w:val="22"/>
                <w:highlight w:val="yellow"/>
              </w:rPr>
              <w:t>, then join groups</w:t>
            </w:r>
            <w:r w:rsidR="00512472" w:rsidRPr="00512472">
              <w:rPr>
                <w:rFonts w:asciiTheme="majorHAnsi" w:hAnsiTheme="majorHAnsi"/>
                <w:sz w:val="22"/>
                <w:szCs w:val="22"/>
                <w:highlight w:val="yellow"/>
              </w:rPr>
              <w:t>. Listen for depth of teachers’ discussions about their changes. Listen for teachers attending to the protocol.</w:t>
            </w:r>
          </w:p>
        </w:tc>
        <w:tc>
          <w:tcPr>
            <w:tcW w:w="1890" w:type="dxa"/>
          </w:tcPr>
          <w:p w14:paraId="5C9864DA" w14:textId="77777777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Posters, </w:t>
            </w:r>
          </w:p>
          <w:p w14:paraId="0D15285A" w14:textId="77777777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Handouts</w:t>
            </w:r>
          </w:p>
          <w:p w14:paraId="7197975E" w14:textId="12B02399" w:rsidR="009C623E" w:rsidRP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Markers</w:t>
            </w:r>
          </w:p>
        </w:tc>
      </w:tr>
      <w:tr w:rsidR="009C623E" w:rsidRPr="00F1250E" w14:paraId="27A80810" w14:textId="77777777" w:rsidTr="009C623E">
        <w:trPr>
          <w:trHeight w:val="413"/>
        </w:trPr>
        <w:tc>
          <w:tcPr>
            <w:tcW w:w="1728" w:type="dxa"/>
          </w:tcPr>
          <w:p w14:paraId="6601BA0A" w14:textId="77777777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9:30-10:00</w:t>
            </w:r>
          </w:p>
          <w:p w14:paraId="3D84D222" w14:textId="6B4AFF8D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PLCs</w:t>
            </w:r>
          </w:p>
        </w:tc>
        <w:tc>
          <w:tcPr>
            <w:tcW w:w="2070" w:type="dxa"/>
          </w:tcPr>
          <w:p w14:paraId="2B7E268A" w14:textId="73DC2E55" w:rsidR="009C623E" w:rsidRPr="00F1250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Kris</w:t>
            </w:r>
          </w:p>
        </w:tc>
        <w:tc>
          <w:tcPr>
            <w:tcW w:w="8280" w:type="dxa"/>
          </w:tcPr>
          <w:p w14:paraId="60EA5D6D" w14:textId="77777777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PLCs are called on to s</w:t>
            </w:r>
            <w:r w:rsidRPr="004531A2">
              <w:rPr>
                <w:rFonts w:asciiTheme="majorHAnsi" w:hAnsiTheme="majorHAnsi"/>
                <w:b/>
                <w:sz w:val="22"/>
                <w:szCs w:val="22"/>
              </w:rPr>
              <w:t xml:space="preserve">hare what they used from the October workshop </w:t>
            </w:r>
          </w:p>
          <w:p w14:paraId="21993ADA" w14:textId="147179AD" w:rsidR="009C623E" w:rsidRPr="00F1250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DE725F4" w14:textId="77777777" w:rsidR="009C623E" w:rsidRPr="00F1250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623E" w:rsidRPr="00F1250E" w14:paraId="71067DE0" w14:textId="77777777" w:rsidTr="009C623E">
        <w:trPr>
          <w:trHeight w:val="395"/>
        </w:trPr>
        <w:tc>
          <w:tcPr>
            <w:tcW w:w="1728" w:type="dxa"/>
          </w:tcPr>
          <w:p w14:paraId="744A228E" w14:textId="1A0F03D4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10:00 - 10:10</w:t>
            </w:r>
            <w:r w:rsidRPr="00F1250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5B1C8C22" w14:textId="4D129EB4" w:rsidR="009C623E" w:rsidRPr="00F1250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Break</w:t>
            </w:r>
          </w:p>
        </w:tc>
        <w:tc>
          <w:tcPr>
            <w:tcW w:w="8280" w:type="dxa"/>
          </w:tcPr>
          <w:p w14:paraId="7138D994" w14:textId="666729F9" w:rsidR="009C623E" w:rsidRPr="00F1250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CFFEBD1" w14:textId="1EC22A59" w:rsidR="009C623E" w:rsidRPr="00F1250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Snacks</w:t>
            </w:r>
          </w:p>
        </w:tc>
      </w:tr>
      <w:tr w:rsidR="009C623E" w:rsidRPr="00F1250E" w14:paraId="1FFA083F" w14:textId="77777777" w:rsidTr="009C623E">
        <w:trPr>
          <w:trHeight w:val="989"/>
        </w:trPr>
        <w:tc>
          <w:tcPr>
            <w:tcW w:w="1728" w:type="dxa"/>
          </w:tcPr>
          <w:p w14:paraId="042F349D" w14:textId="77777777" w:rsidR="009C623E" w:rsidRPr="00F1250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10:10 – 11:40</w:t>
            </w:r>
          </w:p>
          <w:p w14:paraId="2117E91F" w14:textId="77777777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2EE4C" w14:textId="2202123A" w:rsidR="009C623E" w:rsidRPr="00F1250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Cheryl and Jackie</w:t>
            </w:r>
          </w:p>
        </w:tc>
        <w:tc>
          <w:tcPr>
            <w:tcW w:w="8280" w:type="dxa"/>
          </w:tcPr>
          <w:p w14:paraId="4481EE79" w14:textId="77777777" w:rsidR="009C623E" w:rsidRDefault="009C623E" w:rsidP="009C62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CCSS Focus on Focus:</w:t>
            </w:r>
          </w:p>
          <w:p w14:paraId="47A662A9" w14:textId="77777777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Goals are</w:t>
            </w:r>
            <w:r w:rsidRPr="004B377B">
              <w:rPr>
                <w:rFonts w:asciiTheme="majorHAnsi" w:hAnsiTheme="majorHAnsi"/>
                <w:sz w:val="22"/>
                <w:szCs w:val="22"/>
              </w:rPr>
              <w:t xml:space="preserve"> to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5523CAE7" w14:textId="77777777" w:rsidR="009C623E" w:rsidRDefault="009C623E" w:rsidP="009C623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unpack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specific CCSS </w:t>
            </w:r>
            <w:r w:rsidRPr="004B377B">
              <w:rPr>
                <w:rFonts w:asciiTheme="majorHAnsi" w:hAnsiTheme="majorHAnsi"/>
                <w:sz w:val="22"/>
                <w:szCs w:val="22"/>
              </w:rPr>
              <w:t xml:space="preserve">standards and sequence non-standard tasks along a concept progression to meet the standards </w:t>
            </w:r>
          </w:p>
          <w:p w14:paraId="592BF421" w14:textId="77777777" w:rsidR="009C623E" w:rsidRPr="004B377B" w:rsidRDefault="009C623E" w:rsidP="009C623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reflect</w:t>
            </w:r>
            <w:proofErr w:type="gramEnd"/>
            <w:r w:rsidRPr="004B377B">
              <w:rPr>
                <w:rFonts w:asciiTheme="majorHAnsi" w:hAnsiTheme="majorHAnsi"/>
                <w:sz w:val="22"/>
                <w:szCs w:val="22"/>
              </w:rPr>
              <w:t xml:space="preserve"> on the role of the SMP in helping students develop new knowledge.</w:t>
            </w:r>
          </w:p>
          <w:p w14:paraId="0B7C9508" w14:textId="013CE886" w:rsidR="009C623E" w:rsidRPr="00F1250E" w:rsidRDefault="00512472" w:rsidP="00512472">
            <w:pPr>
              <w:rPr>
                <w:rFonts w:asciiTheme="majorHAnsi" w:hAnsiTheme="majorHAnsi"/>
                <w:sz w:val="22"/>
                <w:szCs w:val="22"/>
              </w:rPr>
            </w:pPr>
            <w:r w:rsidRPr="00512472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Peer teachers pass out papers, </w:t>
            </w:r>
            <w:proofErr w:type="gramStart"/>
            <w:r w:rsidRPr="00512472">
              <w:rPr>
                <w:rFonts w:asciiTheme="majorHAnsi" w:hAnsiTheme="majorHAnsi"/>
                <w:sz w:val="22"/>
                <w:szCs w:val="22"/>
                <w:highlight w:val="yellow"/>
              </w:rPr>
              <w:t>then</w:t>
            </w:r>
            <w:proofErr w:type="gramEnd"/>
            <w:r w:rsidRPr="00512472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join groups, especially those who struggle with math (middle school groups) or are smaller groups (Republic). Help support the math norms and encourage deeper discussions.</w:t>
            </w:r>
          </w:p>
        </w:tc>
        <w:tc>
          <w:tcPr>
            <w:tcW w:w="1890" w:type="dxa"/>
          </w:tcPr>
          <w:p w14:paraId="4FB2F8A7" w14:textId="5E2C0148" w:rsidR="009C623E" w:rsidRPr="00F1250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Tasks </w:t>
            </w:r>
          </w:p>
        </w:tc>
      </w:tr>
      <w:tr w:rsidR="009C623E" w:rsidRPr="00F1250E" w14:paraId="0FB58D61" w14:textId="77777777" w:rsidTr="009C623E">
        <w:tc>
          <w:tcPr>
            <w:tcW w:w="1728" w:type="dxa"/>
          </w:tcPr>
          <w:p w14:paraId="13517C73" w14:textId="1DB4AC50" w:rsidR="009C623E" w:rsidRDefault="00512472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11:40 – 12:20</w:t>
            </w:r>
          </w:p>
          <w:p w14:paraId="561B09BD" w14:textId="38200B4A" w:rsidR="003A6334" w:rsidRDefault="003A6334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PLCs</w:t>
            </w:r>
          </w:p>
        </w:tc>
        <w:tc>
          <w:tcPr>
            <w:tcW w:w="2070" w:type="dxa"/>
          </w:tcPr>
          <w:p w14:paraId="665181FB" w14:textId="71FC53C3" w:rsidR="009C623E" w:rsidRPr="00F1250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Lunch </w:t>
            </w:r>
          </w:p>
        </w:tc>
        <w:tc>
          <w:tcPr>
            <w:tcW w:w="8280" w:type="dxa"/>
          </w:tcPr>
          <w:p w14:paraId="777E3973" w14:textId="77777777" w:rsidR="009C623E" w:rsidRDefault="002805E8" w:rsidP="008579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Finish previous session by having teachers </w:t>
            </w:r>
            <w:r w:rsidR="00857966">
              <w:rPr>
                <w:rFonts w:asciiTheme="majorHAnsi" w:hAnsiTheme="majorHAnsi"/>
                <w:sz w:val="22"/>
                <w:szCs w:val="22"/>
              </w:rPr>
              <w:t>have a brief discussion about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it during lunch</w:t>
            </w:r>
            <w:r w:rsidR="00512472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3F952A52" w14:textId="3EC2DD75" w:rsidR="00A76AD9" w:rsidRPr="00F1250E" w:rsidRDefault="00A76AD9" w:rsidP="00857966">
            <w:pPr>
              <w:rPr>
                <w:rFonts w:asciiTheme="majorHAnsi" w:hAnsiTheme="majorHAnsi"/>
                <w:sz w:val="22"/>
                <w:szCs w:val="22"/>
              </w:rPr>
            </w:pPr>
            <w:r w:rsidRPr="00A76AD9">
              <w:rPr>
                <w:rFonts w:asciiTheme="majorHAnsi" w:hAnsiTheme="majorHAnsi"/>
                <w:sz w:val="22"/>
                <w:szCs w:val="22"/>
                <w:highlight w:val="yellow"/>
              </w:rPr>
              <w:t>Teachers who do not have I-Pads can get computers from the cart to use in the next session.</w:t>
            </w:r>
          </w:p>
        </w:tc>
        <w:tc>
          <w:tcPr>
            <w:tcW w:w="1890" w:type="dxa"/>
          </w:tcPr>
          <w:p w14:paraId="58855FB5" w14:textId="754A2138" w:rsidR="009C623E" w:rsidRPr="00F1250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623E" w:rsidRPr="00F1250E" w14:paraId="36E7D5B0" w14:textId="77777777" w:rsidTr="009C623E">
        <w:trPr>
          <w:trHeight w:val="557"/>
        </w:trPr>
        <w:tc>
          <w:tcPr>
            <w:tcW w:w="1728" w:type="dxa"/>
          </w:tcPr>
          <w:p w14:paraId="405DE29C" w14:textId="2B1B4D40" w:rsidR="009C623E" w:rsidRDefault="00512472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12:2</w:t>
            </w:r>
            <w:r w:rsidR="009C623E">
              <w:rPr>
                <w:rFonts w:asciiTheme="majorHAnsi" w:hAnsiTheme="majorHAnsi"/>
                <w:sz w:val="22"/>
                <w:szCs w:val="22"/>
              </w:rPr>
              <w:t>0-2:20</w:t>
            </w:r>
          </w:p>
          <w:p w14:paraId="42FD87EC" w14:textId="6CCB5482" w:rsidR="003A6334" w:rsidRDefault="003A6334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PLCs</w:t>
            </w:r>
          </w:p>
        </w:tc>
        <w:tc>
          <w:tcPr>
            <w:tcW w:w="2070" w:type="dxa"/>
          </w:tcPr>
          <w:p w14:paraId="13543FBB" w14:textId="785E0281" w:rsidR="009C623E" w:rsidRPr="00F1250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Jackie and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Hyung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Sook</w:t>
            </w:r>
            <w:proofErr w:type="spellEnd"/>
          </w:p>
        </w:tc>
        <w:tc>
          <w:tcPr>
            <w:tcW w:w="8280" w:type="dxa"/>
          </w:tcPr>
          <w:p w14:paraId="4992F717" w14:textId="77777777" w:rsidR="009C623E" w:rsidRDefault="009C623E" w:rsidP="009C62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Exploring a function type using SMPs </w:t>
            </w:r>
          </w:p>
          <w:p w14:paraId="6521CF01" w14:textId="77777777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Goal is to reflect on our own use of the SMPs and start describing levels of proficiency in the use of SMPs. </w:t>
            </w:r>
          </w:p>
          <w:p w14:paraId="221D97FE" w14:textId="734901E2" w:rsidR="00A76AD9" w:rsidRPr="00F1250E" w:rsidRDefault="00A76AD9" w:rsidP="00B04D04">
            <w:pPr>
              <w:rPr>
                <w:rFonts w:asciiTheme="majorHAnsi" w:hAnsiTheme="majorHAnsi"/>
                <w:sz w:val="22"/>
                <w:szCs w:val="22"/>
              </w:rPr>
            </w:pPr>
            <w:r w:rsidRPr="00B04D04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Peer teachers distribute cards and handouts, </w:t>
            </w:r>
            <w:r w:rsidR="00B04D04" w:rsidRPr="00B04D04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remind teachers to turn on audio recorders, and </w:t>
            </w:r>
            <w:r w:rsidRPr="00B04D04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help teachers with technology </w:t>
            </w:r>
            <w:r w:rsidR="00B04D04" w:rsidRPr="00B04D04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throughout the session </w:t>
            </w:r>
            <w:r w:rsidRPr="00B04D04">
              <w:rPr>
                <w:rFonts w:asciiTheme="majorHAnsi" w:hAnsiTheme="majorHAnsi"/>
                <w:sz w:val="22"/>
                <w:szCs w:val="22"/>
                <w:highlight w:val="yellow"/>
              </w:rPr>
              <w:t>(</w:t>
            </w:r>
            <w:proofErr w:type="spellStart"/>
            <w:r w:rsidRPr="00B04D04">
              <w:rPr>
                <w:rFonts w:asciiTheme="majorHAnsi" w:hAnsiTheme="majorHAnsi"/>
                <w:sz w:val="22"/>
                <w:szCs w:val="22"/>
                <w:highlight w:val="yellow"/>
              </w:rPr>
              <w:t>GeoGebra</w:t>
            </w:r>
            <w:proofErr w:type="spellEnd"/>
            <w:r w:rsidRPr="00B04D04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B04D04">
              <w:rPr>
                <w:rFonts w:asciiTheme="majorHAnsi" w:hAnsiTheme="majorHAnsi"/>
                <w:sz w:val="22"/>
                <w:szCs w:val="22"/>
                <w:highlight w:val="yellow"/>
              </w:rPr>
              <w:t>Desmos</w:t>
            </w:r>
            <w:proofErr w:type="spellEnd"/>
            <w:r w:rsidRPr="00B04D04">
              <w:rPr>
                <w:rFonts w:asciiTheme="majorHAnsi" w:hAnsiTheme="majorHAnsi"/>
                <w:sz w:val="22"/>
                <w:szCs w:val="22"/>
                <w:highlight w:val="yellow"/>
              </w:rPr>
              <w:t>, or Graphing Calculators).</w:t>
            </w:r>
            <w:r w:rsidR="00B04D04" w:rsidRPr="00B04D04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Feel free to roam and help teachers interpret the directions, notice how they engage in the task, and join groups to support norms and technology use.</w:t>
            </w:r>
          </w:p>
        </w:tc>
        <w:tc>
          <w:tcPr>
            <w:tcW w:w="1890" w:type="dxa"/>
          </w:tcPr>
          <w:p w14:paraId="593A13F3" w14:textId="77777777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Handouts,</w:t>
            </w:r>
          </w:p>
          <w:p w14:paraId="6BF33E6D" w14:textId="77777777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Function cards</w:t>
            </w:r>
            <w:r w:rsidR="00E30BEF">
              <w:rPr>
                <w:rFonts w:asciiTheme="majorHAnsi" w:hAnsiTheme="majorHAnsi"/>
                <w:sz w:val="22"/>
                <w:szCs w:val="22"/>
              </w:rPr>
              <w:t xml:space="preserve">, </w:t>
            </w:r>
          </w:p>
          <w:p w14:paraId="50AA78C4" w14:textId="4CC45713" w:rsidR="009C623E" w:rsidRPr="004B377B" w:rsidRDefault="00E30BEF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Graph paper</w:t>
            </w:r>
            <w:r w:rsidR="00B04D04">
              <w:rPr>
                <w:rFonts w:asciiTheme="majorHAnsi" w:hAnsiTheme="majorHAnsi"/>
                <w:sz w:val="22"/>
                <w:szCs w:val="22"/>
              </w:rPr>
              <w:t>, blank paper</w:t>
            </w:r>
          </w:p>
        </w:tc>
      </w:tr>
      <w:tr w:rsidR="009C623E" w:rsidRPr="00F1250E" w14:paraId="47040E26" w14:textId="77777777" w:rsidTr="009C623E">
        <w:trPr>
          <w:trHeight w:val="557"/>
        </w:trPr>
        <w:tc>
          <w:tcPr>
            <w:tcW w:w="1728" w:type="dxa"/>
          </w:tcPr>
          <w:p w14:paraId="76FD9CA6" w14:textId="51312AE2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2:20-2:45</w:t>
            </w:r>
          </w:p>
        </w:tc>
        <w:tc>
          <w:tcPr>
            <w:tcW w:w="2070" w:type="dxa"/>
          </w:tcPr>
          <w:p w14:paraId="7A6F72BA" w14:textId="2FB6F7F0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Kris</w:t>
            </w:r>
          </w:p>
        </w:tc>
        <w:tc>
          <w:tcPr>
            <w:tcW w:w="8280" w:type="dxa"/>
          </w:tcPr>
          <w:p w14:paraId="52DA3D1A" w14:textId="77777777" w:rsidR="009C623E" w:rsidRDefault="009C623E" w:rsidP="009C62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Debrief</w:t>
            </w:r>
          </w:p>
          <w:p w14:paraId="20915577" w14:textId="19528CB4" w:rsidR="00B04D04" w:rsidRDefault="00B04D04" w:rsidP="009C62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2886E81" w14:textId="1D9404E9" w:rsidR="009C623E" w:rsidRDefault="009C623E" w:rsidP="009C623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623E" w:rsidRPr="00F1250E" w14:paraId="237D6F45" w14:textId="77777777" w:rsidTr="009C623E">
        <w:trPr>
          <w:trHeight w:val="557"/>
        </w:trPr>
        <w:tc>
          <w:tcPr>
            <w:tcW w:w="1728" w:type="dxa"/>
          </w:tcPr>
          <w:p w14:paraId="019FA5FF" w14:textId="0EEC990E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2:45-3:00 </w:t>
            </w:r>
          </w:p>
        </w:tc>
        <w:tc>
          <w:tcPr>
            <w:tcW w:w="2070" w:type="dxa"/>
          </w:tcPr>
          <w:p w14:paraId="64AFD81D" w14:textId="089192F7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Jackie</w:t>
            </w:r>
          </w:p>
        </w:tc>
        <w:tc>
          <w:tcPr>
            <w:tcW w:w="8280" w:type="dxa"/>
          </w:tcPr>
          <w:p w14:paraId="4902BE62" w14:textId="25B86263" w:rsid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Homework and Evaluations</w:t>
            </w:r>
          </w:p>
        </w:tc>
        <w:tc>
          <w:tcPr>
            <w:tcW w:w="1890" w:type="dxa"/>
          </w:tcPr>
          <w:p w14:paraId="636A904F" w14:textId="77777777" w:rsidR="009C623E" w:rsidRPr="009C623E" w:rsidRDefault="009C623E" w:rsidP="009C623E">
            <w:pPr>
              <w:rPr>
                <w:rFonts w:asciiTheme="majorHAnsi" w:hAnsiTheme="majorHAnsi"/>
                <w:sz w:val="22"/>
                <w:szCs w:val="22"/>
              </w:rPr>
            </w:pPr>
            <w:r w:rsidRPr="009C623E">
              <w:rPr>
                <w:rFonts w:asciiTheme="majorHAnsi" w:hAnsiTheme="majorHAnsi"/>
                <w:sz w:val="22"/>
                <w:szCs w:val="22"/>
              </w:rPr>
              <w:t>Homework,</w:t>
            </w:r>
          </w:p>
          <w:p w14:paraId="094E7F7C" w14:textId="4D9281FD" w:rsidR="009C623E" w:rsidRDefault="009C623E" w:rsidP="009C62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C623E">
              <w:rPr>
                <w:rFonts w:asciiTheme="majorHAnsi" w:hAnsiTheme="majorHAnsi"/>
                <w:sz w:val="22"/>
                <w:szCs w:val="22"/>
              </w:rPr>
              <w:t>Evaluations</w:t>
            </w:r>
          </w:p>
        </w:tc>
      </w:tr>
    </w:tbl>
    <w:p w14:paraId="700E6E98" w14:textId="5D30797A" w:rsidR="00C23F98" w:rsidRDefault="00C23F98">
      <w:r>
        <w:t xml:space="preserve">RAMP-A November 22, </w:t>
      </w:r>
      <w:r w:rsidR="00661CC4">
        <w:t>2013 Tentative Agenda</w:t>
      </w:r>
    </w:p>
    <w:sectPr w:rsidR="00C23F98" w:rsidSect="00C23F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472"/>
    <w:multiLevelType w:val="hybridMultilevel"/>
    <w:tmpl w:val="654C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4512D"/>
    <w:multiLevelType w:val="hybridMultilevel"/>
    <w:tmpl w:val="CABE6A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98"/>
    <w:rsid w:val="002805E8"/>
    <w:rsid w:val="003A6334"/>
    <w:rsid w:val="00415BED"/>
    <w:rsid w:val="00426042"/>
    <w:rsid w:val="00472003"/>
    <w:rsid w:val="00484122"/>
    <w:rsid w:val="004B377B"/>
    <w:rsid w:val="00512472"/>
    <w:rsid w:val="00526DCA"/>
    <w:rsid w:val="005E735C"/>
    <w:rsid w:val="00661CC4"/>
    <w:rsid w:val="006E5C58"/>
    <w:rsid w:val="007B67FA"/>
    <w:rsid w:val="007E5969"/>
    <w:rsid w:val="00857966"/>
    <w:rsid w:val="00861CDA"/>
    <w:rsid w:val="009C623E"/>
    <w:rsid w:val="00A540AD"/>
    <w:rsid w:val="00A76AD9"/>
    <w:rsid w:val="00AA645E"/>
    <w:rsid w:val="00AC5CDC"/>
    <w:rsid w:val="00B04D04"/>
    <w:rsid w:val="00C23F98"/>
    <w:rsid w:val="00D6698E"/>
    <w:rsid w:val="00DD5470"/>
    <w:rsid w:val="00E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72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dcterms:created xsi:type="dcterms:W3CDTF">2015-04-12T20:58:00Z</dcterms:created>
  <dcterms:modified xsi:type="dcterms:W3CDTF">2015-04-12T20:58:00Z</dcterms:modified>
</cp:coreProperties>
</file>