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49B14" w14:textId="77777777" w:rsidR="005E735C" w:rsidRDefault="00DD3D0C">
      <w:bookmarkStart w:id="0" w:name="_GoBack"/>
      <w:bookmarkEnd w:id="0"/>
      <w:r>
        <w:t xml:space="preserve">October 25, 2013 RAMP-A Agenda </w:t>
      </w:r>
    </w:p>
    <w:p w14:paraId="0B8E233D" w14:textId="77777777" w:rsidR="00C9051E" w:rsidRDefault="00C9051E">
      <w:pPr>
        <w:rPr>
          <w:rFonts w:asciiTheme="majorHAnsi" w:hAnsiTheme="majorHAnsi"/>
          <w:b/>
          <w:sz w:val="22"/>
          <w:szCs w:val="22"/>
        </w:rPr>
      </w:pPr>
      <w:r w:rsidRPr="00F1250E">
        <w:rPr>
          <w:rFonts w:asciiTheme="majorHAnsi" w:hAnsiTheme="majorHAnsi"/>
          <w:b/>
          <w:sz w:val="22"/>
          <w:szCs w:val="22"/>
        </w:rPr>
        <w:t xml:space="preserve">During what activities in October would it be best to have administrators join PLCs? </w:t>
      </w:r>
      <w:proofErr w:type="gramStart"/>
      <w:r w:rsidRPr="00F1250E">
        <w:rPr>
          <w:rFonts w:asciiTheme="majorHAnsi" w:hAnsiTheme="majorHAnsi"/>
          <w:b/>
          <w:sz w:val="22"/>
          <w:szCs w:val="22"/>
        </w:rPr>
        <w:t>For what purposes?</w:t>
      </w:r>
      <w:proofErr w:type="gramEnd"/>
    </w:p>
    <w:p w14:paraId="66EA8DE2" w14:textId="77777777" w:rsidR="006021E9" w:rsidRDefault="006021E9">
      <w:r w:rsidRPr="00F1250E">
        <w:rPr>
          <w:rFonts w:asciiTheme="majorHAnsi" w:hAnsiTheme="majorHAnsi"/>
          <w:sz w:val="22"/>
          <w:szCs w:val="22"/>
        </w:rPr>
        <w:t xml:space="preserve">In </w:t>
      </w:r>
      <w:r>
        <w:rPr>
          <w:rFonts w:asciiTheme="majorHAnsi" w:hAnsiTheme="majorHAnsi"/>
          <w:sz w:val="22"/>
          <w:szCs w:val="22"/>
        </w:rPr>
        <w:t>the workshop</w:t>
      </w:r>
      <w:r w:rsidRPr="00F1250E">
        <w:rPr>
          <w:rFonts w:asciiTheme="majorHAnsi" w:hAnsiTheme="majorHAnsi"/>
          <w:sz w:val="22"/>
          <w:szCs w:val="22"/>
        </w:rPr>
        <w:t xml:space="preserve">, </w:t>
      </w:r>
      <w:r w:rsidRPr="00DD3D0C">
        <w:rPr>
          <w:rFonts w:asciiTheme="majorHAnsi" w:hAnsiTheme="majorHAnsi"/>
          <w:b/>
          <w:sz w:val="22"/>
          <w:szCs w:val="22"/>
        </w:rPr>
        <w:t>how are teachers developing deeper understandings of the CCSS and learning to teach them</w:t>
      </w:r>
      <w:r w:rsidRPr="00F1250E">
        <w:rPr>
          <w:rFonts w:asciiTheme="majorHAnsi" w:hAnsiTheme="majorHAnsi"/>
          <w:sz w:val="22"/>
          <w:szCs w:val="22"/>
        </w:rPr>
        <w:t xml:space="preserve">? In particular, in what ways are we helping teachers understand </w:t>
      </w:r>
      <w:r w:rsidRPr="006021E9">
        <w:rPr>
          <w:rFonts w:asciiTheme="majorHAnsi" w:hAnsiTheme="majorHAnsi"/>
          <w:b/>
          <w:sz w:val="22"/>
          <w:szCs w:val="22"/>
        </w:rPr>
        <w:t>what is new and different in the CCSS</w:t>
      </w:r>
      <w:r w:rsidRPr="00F1250E">
        <w:rPr>
          <w:rFonts w:asciiTheme="majorHAnsi" w:hAnsiTheme="majorHAnsi"/>
          <w:sz w:val="22"/>
          <w:szCs w:val="22"/>
        </w:rPr>
        <w:t xml:space="preserve"> than in their previous standards and in their textbooks?</w:t>
      </w:r>
    </w:p>
    <w:tbl>
      <w:tblPr>
        <w:tblStyle w:val="TableGrid"/>
        <w:tblW w:w="13788" w:type="dxa"/>
        <w:tblLayout w:type="fixed"/>
        <w:tblLook w:val="04A0" w:firstRow="1" w:lastRow="0" w:firstColumn="1" w:lastColumn="0" w:noHBand="0" w:noVBand="1"/>
      </w:tblPr>
      <w:tblGrid>
        <w:gridCol w:w="1557"/>
        <w:gridCol w:w="1701"/>
        <w:gridCol w:w="8640"/>
        <w:gridCol w:w="1890"/>
      </w:tblGrid>
      <w:tr w:rsidR="00DD3D0C" w:rsidRPr="00F1250E" w14:paraId="2B156C8C" w14:textId="77777777" w:rsidTr="006021E9">
        <w:trPr>
          <w:trHeight w:val="683"/>
        </w:trPr>
        <w:tc>
          <w:tcPr>
            <w:tcW w:w="1557" w:type="dxa"/>
          </w:tcPr>
          <w:p w14:paraId="4F52162E" w14:textId="77777777" w:rsidR="00DD3D0C" w:rsidRPr="00F1250E" w:rsidRDefault="00DD3D0C" w:rsidP="00C9051E">
            <w:pPr>
              <w:jc w:val="center"/>
              <w:rPr>
                <w:rFonts w:asciiTheme="majorHAnsi" w:hAnsiTheme="majorHAnsi"/>
                <w:sz w:val="22"/>
                <w:szCs w:val="22"/>
              </w:rPr>
            </w:pPr>
            <w:r w:rsidRPr="00F1250E">
              <w:rPr>
                <w:rFonts w:asciiTheme="majorHAnsi" w:hAnsiTheme="majorHAnsi"/>
                <w:sz w:val="22"/>
                <w:szCs w:val="22"/>
              </w:rPr>
              <w:t>Approximate time and groupings</w:t>
            </w:r>
          </w:p>
        </w:tc>
        <w:tc>
          <w:tcPr>
            <w:tcW w:w="1701" w:type="dxa"/>
          </w:tcPr>
          <w:p w14:paraId="1B29BEF3" w14:textId="77777777" w:rsidR="00DD3D0C" w:rsidRPr="00F1250E" w:rsidRDefault="00DD3D0C" w:rsidP="00C9051E">
            <w:pPr>
              <w:jc w:val="center"/>
              <w:rPr>
                <w:rFonts w:asciiTheme="majorHAnsi" w:hAnsiTheme="majorHAnsi"/>
                <w:sz w:val="22"/>
                <w:szCs w:val="22"/>
              </w:rPr>
            </w:pPr>
            <w:r w:rsidRPr="00F1250E">
              <w:rPr>
                <w:rFonts w:asciiTheme="majorHAnsi" w:hAnsiTheme="majorHAnsi"/>
                <w:sz w:val="22"/>
                <w:szCs w:val="22"/>
              </w:rPr>
              <w:t>Designers/</w:t>
            </w:r>
          </w:p>
          <w:p w14:paraId="2B8F3AC2" w14:textId="77777777" w:rsidR="00DD3D0C" w:rsidRPr="00F1250E" w:rsidRDefault="00DD3D0C" w:rsidP="00C9051E">
            <w:pPr>
              <w:jc w:val="center"/>
              <w:rPr>
                <w:rFonts w:asciiTheme="majorHAnsi" w:hAnsiTheme="majorHAnsi"/>
                <w:sz w:val="22"/>
                <w:szCs w:val="22"/>
              </w:rPr>
            </w:pPr>
            <w:r w:rsidRPr="00F1250E">
              <w:rPr>
                <w:rFonts w:asciiTheme="majorHAnsi" w:hAnsiTheme="majorHAnsi"/>
                <w:sz w:val="22"/>
                <w:szCs w:val="22"/>
              </w:rPr>
              <w:t>Facilitators</w:t>
            </w:r>
          </w:p>
        </w:tc>
        <w:tc>
          <w:tcPr>
            <w:tcW w:w="8640" w:type="dxa"/>
          </w:tcPr>
          <w:p w14:paraId="30CDED15" w14:textId="77777777" w:rsidR="00DD3D0C" w:rsidRPr="00F1250E" w:rsidRDefault="00DD3D0C" w:rsidP="00C9051E">
            <w:pPr>
              <w:jc w:val="center"/>
              <w:rPr>
                <w:rFonts w:asciiTheme="majorHAnsi" w:hAnsiTheme="majorHAnsi"/>
                <w:sz w:val="22"/>
                <w:szCs w:val="22"/>
              </w:rPr>
            </w:pPr>
            <w:r w:rsidRPr="00F1250E">
              <w:rPr>
                <w:rFonts w:asciiTheme="majorHAnsi" w:hAnsiTheme="majorHAnsi"/>
                <w:sz w:val="22"/>
                <w:szCs w:val="22"/>
              </w:rPr>
              <w:t xml:space="preserve">Activity &amp; Purposes </w:t>
            </w:r>
          </w:p>
          <w:p w14:paraId="670D18D7" w14:textId="77777777" w:rsidR="00DD3D0C" w:rsidRPr="00F1250E" w:rsidRDefault="00DD3D0C" w:rsidP="00C9051E">
            <w:pPr>
              <w:rPr>
                <w:rFonts w:asciiTheme="majorHAnsi" w:hAnsiTheme="majorHAnsi"/>
                <w:sz w:val="22"/>
                <w:szCs w:val="22"/>
              </w:rPr>
            </w:pPr>
          </w:p>
        </w:tc>
        <w:tc>
          <w:tcPr>
            <w:tcW w:w="1890" w:type="dxa"/>
          </w:tcPr>
          <w:p w14:paraId="7C7EE49E" w14:textId="77777777" w:rsidR="00DD3D0C" w:rsidRPr="00F1250E" w:rsidRDefault="00DD3D0C" w:rsidP="00C9051E">
            <w:pPr>
              <w:jc w:val="center"/>
              <w:rPr>
                <w:rFonts w:asciiTheme="majorHAnsi" w:hAnsiTheme="majorHAnsi"/>
                <w:sz w:val="22"/>
                <w:szCs w:val="22"/>
              </w:rPr>
            </w:pPr>
            <w:r>
              <w:rPr>
                <w:rFonts w:asciiTheme="majorHAnsi" w:hAnsiTheme="majorHAnsi"/>
                <w:sz w:val="22"/>
                <w:szCs w:val="22"/>
              </w:rPr>
              <w:t>Materials</w:t>
            </w:r>
          </w:p>
        </w:tc>
      </w:tr>
      <w:tr w:rsidR="00C9051E" w:rsidRPr="00F1250E" w14:paraId="2DAD1A63" w14:textId="77777777" w:rsidTr="006021E9">
        <w:trPr>
          <w:trHeight w:val="422"/>
        </w:trPr>
        <w:tc>
          <w:tcPr>
            <w:tcW w:w="1557" w:type="dxa"/>
          </w:tcPr>
          <w:p w14:paraId="6FF2071B" w14:textId="77777777" w:rsidR="00C9051E" w:rsidRPr="00F1250E" w:rsidRDefault="00C9051E" w:rsidP="00C9051E">
            <w:pPr>
              <w:jc w:val="center"/>
              <w:rPr>
                <w:rFonts w:asciiTheme="majorHAnsi" w:hAnsiTheme="majorHAnsi"/>
                <w:sz w:val="22"/>
                <w:szCs w:val="22"/>
              </w:rPr>
            </w:pPr>
            <w:r>
              <w:rPr>
                <w:rFonts w:asciiTheme="majorHAnsi" w:hAnsiTheme="majorHAnsi"/>
                <w:sz w:val="22"/>
                <w:szCs w:val="22"/>
              </w:rPr>
              <w:t>7:30-7:45</w:t>
            </w:r>
          </w:p>
        </w:tc>
        <w:tc>
          <w:tcPr>
            <w:tcW w:w="1701" w:type="dxa"/>
          </w:tcPr>
          <w:p w14:paraId="33078541" w14:textId="77777777" w:rsidR="00C9051E" w:rsidRPr="00F1250E" w:rsidRDefault="00C9051E" w:rsidP="00C9051E">
            <w:pPr>
              <w:jc w:val="center"/>
              <w:rPr>
                <w:rFonts w:asciiTheme="majorHAnsi" w:hAnsiTheme="majorHAnsi"/>
                <w:sz w:val="22"/>
                <w:szCs w:val="22"/>
              </w:rPr>
            </w:pPr>
          </w:p>
        </w:tc>
        <w:tc>
          <w:tcPr>
            <w:tcW w:w="8640" w:type="dxa"/>
          </w:tcPr>
          <w:p w14:paraId="428FDE90" w14:textId="77777777" w:rsidR="00C9051E" w:rsidRPr="00F1250E" w:rsidRDefault="00C9051E" w:rsidP="00C9051E">
            <w:pPr>
              <w:rPr>
                <w:rFonts w:asciiTheme="majorHAnsi" w:hAnsiTheme="majorHAnsi"/>
                <w:sz w:val="22"/>
                <w:szCs w:val="22"/>
              </w:rPr>
            </w:pPr>
            <w:r>
              <w:rPr>
                <w:rFonts w:asciiTheme="majorHAnsi" w:hAnsiTheme="majorHAnsi"/>
                <w:sz w:val="22"/>
                <w:szCs w:val="22"/>
              </w:rPr>
              <w:t>Welcome and goals for the day</w:t>
            </w:r>
          </w:p>
        </w:tc>
        <w:tc>
          <w:tcPr>
            <w:tcW w:w="1890" w:type="dxa"/>
          </w:tcPr>
          <w:p w14:paraId="245A0CE3" w14:textId="77777777" w:rsidR="00C9051E" w:rsidRDefault="00C9051E" w:rsidP="00C9051E">
            <w:pPr>
              <w:jc w:val="center"/>
              <w:rPr>
                <w:rFonts w:asciiTheme="majorHAnsi" w:hAnsiTheme="majorHAnsi"/>
                <w:sz w:val="22"/>
                <w:szCs w:val="22"/>
              </w:rPr>
            </w:pPr>
          </w:p>
        </w:tc>
      </w:tr>
      <w:tr w:rsidR="00DD3D0C" w:rsidRPr="00F1250E" w14:paraId="4B0E4690" w14:textId="77777777" w:rsidTr="006021E9">
        <w:tc>
          <w:tcPr>
            <w:tcW w:w="1557" w:type="dxa"/>
          </w:tcPr>
          <w:p w14:paraId="64DA0B19" w14:textId="77777777" w:rsidR="00DD3D0C" w:rsidRPr="00F1250E" w:rsidRDefault="00C9051E" w:rsidP="00C9051E">
            <w:pPr>
              <w:rPr>
                <w:rFonts w:asciiTheme="majorHAnsi" w:hAnsiTheme="majorHAnsi"/>
                <w:sz w:val="22"/>
                <w:szCs w:val="22"/>
              </w:rPr>
            </w:pPr>
            <w:r>
              <w:rPr>
                <w:rFonts w:asciiTheme="majorHAnsi" w:hAnsiTheme="majorHAnsi"/>
                <w:sz w:val="22"/>
                <w:szCs w:val="22"/>
              </w:rPr>
              <w:t>7:45-9:15</w:t>
            </w:r>
          </w:p>
          <w:p w14:paraId="1BE8B4B2" w14:textId="4BF27D95" w:rsidR="00DD3D0C" w:rsidRPr="00F1250E" w:rsidRDefault="00DD3D0C" w:rsidP="004A2AFD">
            <w:pPr>
              <w:rPr>
                <w:rFonts w:asciiTheme="majorHAnsi" w:hAnsiTheme="majorHAnsi"/>
                <w:sz w:val="22"/>
                <w:szCs w:val="22"/>
              </w:rPr>
            </w:pPr>
            <w:r w:rsidRPr="00F1250E">
              <w:rPr>
                <w:rFonts w:asciiTheme="majorHAnsi" w:hAnsiTheme="majorHAnsi"/>
                <w:sz w:val="22"/>
                <w:szCs w:val="22"/>
              </w:rPr>
              <w:t xml:space="preserve">All together </w:t>
            </w:r>
            <w:r w:rsidR="004A2AFD">
              <w:rPr>
                <w:rFonts w:asciiTheme="majorHAnsi" w:hAnsiTheme="majorHAnsi"/>
                <w:sz w:val="22"/>
                <w:szCs w:val="22"/>
              </w:rPr>
              <w:t>with non-PLCs</w:t>
            </w:r>
          </w:p>
        </w:tc>
        <w:tc>
          <w:tcPr>
            <w:tcW w:w="1701" w:type="dxa"/>
          </w:tcPr>
          <w:p w14:paraId="4968D8BF" w14:textId="6C8D2A07" w:rsidR="00DD3D0C" w:rsidRDefault="00DD3D0C" w:rsidP="00C9051E">
            <w:pPr>
              <w:rPr>
                <w:rFonts w:asciiTheme="majorHAnsi" w:hAnsiTheme="majorHAnsi"/>
                <w:sz w:val="22"/>
                <w:szCs w:val="22"/>
              </w:rPr>
            </w:pPr>
            <w:proofErr w:type="spellStart"/>
            <w:r>
              <w:rPr>
                <w:rFonts w:asciiTheme="majorHAnsi" w:hAnsiTheme="majorHAnsi"/>
                <w:sz w:val="22"/>
                <w:szCs w:val="22"/>
              </w:rPr>
              <w:t>Hyung</w:t>
            </w:r>
            <w:proofErr w:type="spellEnd"/>
            <w:r>
              <w:rPr>
                <w:rFonts w:asciiTheme="majorHAnsi" w:hAnsiTheme="majorHAnsi"/>
                <w:sz w:val="22"/>
                <w:szCs w:val="22"/>
              </w:rPr>
              <w:t xml:space="preserve"> </w:t>
            </w:r>
            <w:proofErr w:type="spellStart"/>
            <w:r>
              <w:rPr>
                <w:rFonts w:asciiTheme="majorHAnsi" w:hAnsiTheme="majorHAnsi"/>
                <w:sz w:val="22"/>
                <w:szCs w:val="22"/>
              </w:rPr>
              <w:t>Sook</w:t>
            </w:r>
            <w:proofErr w:type="spellEnd"/>
            <w:r w:rsidR="004A2AFD">
              <w:rPr>
                <w:rFonts w:asciiTheme="majorHAnsi" w:hAnsiTheme="majorHAnsi"/>
                <w:sz w:val="22"/>
                <w:szCs w:val="22"/>
              </w:rPr>
              <w:t xml:space="preserve"> and Jackie</w:t>
            </w:r>
          </w:p>
          <w:p w14:paraId="564FE72F" w14:textId="77777777" w:rsidR="00CC16D5" w:rsidRPr="00F1250E" w:rsidRDefault="00CC16D5" w:rsidP="00C9051E">
            <w:pPr>
              <w:rPr>
                <w:rFonts w:asciiTheme="majorHAnsi" w:hAnsiTheme="majorHAnsi"/>
                <w:sz w:val="22"/>
                <w:szCs w:val="22"/>
              </w:rPr>
            </w:pPr>
          </w:p>
        </w:tc>
        <w:tc>
          <w:tcPr>
            <w:tcW w:w="8640" w:type="dxa"/>
          </w:tcPr>
          <w:p w14:paraId="5264E112" w14:textId="7EDF53B9" w:rsidR="00DD3D0C" w:rsidRPr="00F1250E" w:rsidRDefault="004A2AFD" w:rsidP="00C9051E">
            <w:pPr>
              <w:rPr>
                <w:rFonts w:asciiTheme="majorHAnsi" w:hAnsiTheme="majorHAnsi"/>
                <w:sz w:val="22"/>
                <w:szCs w:val="22"/>
              </w:rPr>
            </w:pPr>
            <w:r w:rsidRPr="008B4ABA">
              <w:rPr>
                <w:rFonts w:asciiTheme="majorHAnsi" w:hAnsiTheme="majorHAnsi"/>
                <w:b/>
                <w:sz w:val="22"/>
                <w:szCs w:val="22"/>
              </w:rPr>
              <w:t>Using a rich math task to support more advanced levels of SMP use</w:t>
            </w:r>
            <w:r w:rsidRPr="00F1250E">
              <w:rPr>
                <w:rFonts w:asciiTheme="majorHAnsi" w:hAnsiTheme="majorHAnsi"/>
                <w:sz w:val="22"/>
                <w:szCs w:val="22"/>
              </w:rPr>
              <w:t>. This connects to the SMP, but also make</w:t>
            </w:r>
            <w:r>
              <w:rPr>
                <w:rFonts w:asciiTheme="majorHAnsi" w:hAnsiTheme="majorHAnsi"/>
                <w:sz w:val="22"/>
                <w:szCs w:val="22"/>
              </w:rPr>
              <w:t>s</w:t>
            </w:r>
            <w:r w:rsidRPr="00F1250E">
              <w:rPr>
                <w:rFonts w:asciiTheme="majorHAnsi" w:hAnsiTheme="majorHAnsi"/>
                <w:sz w:val="22"/>
                <w:szCs w:val="22"/>
              </w:rPr>
              <w:t xml:space="preserve"> connections to the content standards.</w:t>
            </w:r>
          </w:p>
        </w:tc>
        <w:tc>
          <w:tcPr>
            <w:tcW w:w="1890" w:type="dxa"/>
          </w:tcPr>
          <w:p w14:paraId="031B5811" w14:textId="130B39F4" w:rsidR="00DD3D0C" w:rsidRPr="008B4ABA" w:rsidRDefault="004A2AFD" w:rsidP="004A2AFD">
            <w:pPr>
              <w:rPr>
                <w:rFonts w:asciiTheme="majorHAnsi" w:hAnsiTheme="majorHAnsi"/>
                <w:b/>
                <w:sz w:val="22"/>
                <w:szCs w:val="22"/>
              </w:rPr>
            </w:pPr>
            <w:r w:rsidRPr="00C9051E">
              <w:rPr>
                <w:rFonts w:asciiTheme="majorHAnsi" w:hAnsiTheme="majorHAnsi"/>
                <w:sz w:val="22"/>
                <w:szCs w:val="22"/>
              </w:rPr>
              <w:t>Handout</w:t>
            </w:r>
            <w:r>
              <w:rPr>
                <w:rFonts w:asciiTheme="majorHAnsi" w:hAnsiTheme="majorHAnsi"/>
                <w:sz w:val="22"/>
                <w:szCs w:val="22"/>
              </w:rPr>
              <w:t>s</w:t>
            </w:r>
            <w:r w:rsidRPr="00C9051E">
              <w:rPr>
                <w:rFonts w:asciiTheme="majorHAnsi" w:hAnsiTheme="majorHAnsi"/>
                <w:sz w:val="22"/>
                <w:szCs w:val="22"/>
              </w:rPr>
              <w:t xml:space="preserve"> 1 and 2, Practice Cards</w:t>
            </w:r>
          </w:p>
        </w:tc>
      </w:tr>
      <w:tr w:rsidR="004A2AFD" w:rsidRPr="00F1250E" w14:paraId="3663327D" w14:textId="77777777" w:rsidTr="006021E9">
        <w:tc>
          <w:tcPr>
            <w:tcW w:w="1557" w:type="dxa"/>
          </w:tcPr>
          <w:p w14:paraId="74A4951B" w14:textId="63CA816A" w:rsidR="004A2AFD" w:rsidRDefault="004A2AFD" w:rsidP="00C9051E">
            <w:pPr>
              <w:rPr>
                <w:rFonts w:asciiTheme="majorHAnsi" w:hAnsiTheme="majorHAnsi"/>
                <w:sz w:val="22"/>
                <w:szCs w:val="22"/>
              </w:rPr>
            </w:pPr>
            <w:r>
              <w:rPr>
                <w:rFonts w:asciiTheme="majorHAnsi" w:hAnsiTheme="majorHAnsi"/>
                <w:sz w:val="22"/>
                <w:szCs w:val="22"/>
              </w:rPr>
              <w:t>9:15-9:25</w:t>
            </w:r>
          </w:p>
        </w:tc>
        <w:tc>
          <w:tcPr>
            <w:tcW w:w="1701" w:type="dxa"/>
          </w:tcPr>
          <w:p w14:paraId="68F91329" w14:textId="6AD3A27D" w:rsidR="004A2AFD" w:rsidRPr="00F1250E" w:rsidRDefault="004A2AFD" w:rsidP="00C9051E">
            <w:pPr>
              <w:rPr>
                <w:rFonts w:asciiTheme="majorHAnsi" w:hAnsiTheme="majorHAnsi"/>
                <w:sz w:val="22"/>
                <w:szCs w:val="22"/>
              </w:rPr>
            </w:pPr>
            <w:r>
              <w:rPr>
                <w:rFonts w:asciiTheme="majorHAnsi" w:hAnsiTheme="majorHAnsi"/>
                <w:sz w:val="22"/>
                <w:szCs w:val="22"/>
              </w:rPr>
              <w:t>Break</w:t>
            </w:r>
          </w:p>
        </w:tc>
        <w:tc>
          <w:tcPr>
            <w:tcW w:w="8640" w:type="dxa"/>
          </w:tcPr>
          <w:p w14:paraId="3660EA88" w14:textId="7579CBDC" w:rsidR="004A2AFD" w:rsidRPr="008B4ABA" w:rsidRDefault="00983C55" w:rsidP="00C9051E">
            <w:pPr>
              <w:rPr>
                <w:rFonts w:asciiTheme="majorHAnsi" w:hAnsiTheme="majorHAnsi"/>
                <w:b/>
                <w:sz w:val="22"/>
                <w:szCs w:val="22"/>
              </w:rPr>
            </w:pPr>
            <w:r>
              <w:rPr>
                <w:rFonts w:asciiTheme="majorHAnsi" w:hAnsiTheme="majorHAnsi"/>
                <w:b/>
                <w:sz w:val="22"/>
                <w:szCs w:val="22"/>
              </w:rPr>
              <w:t>Reconvene in PLCs</w:t>
            </w:r>
          </w:p>
        </w:tc>
        <w:tc>
          <w:tcPr>
            <w:tcW w:w="1890" w:type="dxa"/>
          </w:tcPr>
          <w:p w14:paraId="3F1226B1" w14:textId="23C7E8DB" w:rsidR="004A2AFD" w:rsidRDefault="004A2AFD" w:rsidP="00C9051E">
            <w:pPr>
              <w:rPr>
                <w:rFonts w:asciiTheme="majorHAnsi" w:hAnsiTheme="majorHAnsi"/>
                <w:b/>
                <w:sz w:val="22"/>
                <w:szCs w:val="22"/>
              </w:rPr>
            </w:pPr>
            <w:r w:rsidRPr="00C9051E">
              <w:rPr>
                <w:rFonts w:asciiTheme="majorHAnsi" w:hAnsiTheme="majorHAnsi"/>
                <w:sz w:val="22"/>
                <w:szCs w:val="22"/>
              </w:rPr>
              <w:t>Snacks</w:t>
            </w:r>
          </w:p>
        </w:tc>
      </w:tr>
      <w:tr w:rsidR="00C9051E" w:rsidRPr="00F1250E" w14:paraId="2F2EB922" w14:textId="77777777" w:rsidTr="006021E9">
        <w:tc>
          <w:tcPr>
            <w:tcW w:w="1557" w:type="dxa"/>
          </w:tcPr>
          <w:p w14:paraId="3C6C973C" w14:textId="77777777" w:rsidR="00C9051E" w:rsidRDefault="004A2AFD" w:rsidP="00C9051E">
            <w:pPr>
              <w:rPr>
                <w:rFonts w:asciiTheme="majorHAnsi" w:hAnsiTheme="majorHAnsi"/>
                <w:sz w:val="22"/>
                <w:szCs w:val="22"/>
              </w:rPr>
            </w:pPr>
            <w:r>
              <w:rPr>
                <w:rFonts w:asciiTheme="majorHAnsi" w:hAnsiTheme="majorHAnsi"/>
                <w:sz w:val="22"/>
                <w:szCs w:val="22"/>
              </w:rPr>
              <w:t>9:25-11:00</w:t>
            </w:r>
          </w:p>
          <w:p w14:paraId="7DB5D99A" w14:textId="2CF2B0EA" w:rsidR="00983C55" w:rsidRDefault="00983C55" w:rsidP="00C9051E">
            <w:pPr>
              <w:rPr>
                <w:rFonts w:asciiTheme="majorHAnsi" w:hAnsiTheme="majorHAnsi"/>
                <w:sz w:val="22"/>
                <w:szCs w:val="22"/>
              </w:rPr>
            </w:pPr>
            <w:r>
              <w:rPr>
                <w:rFonts w:asciiTheme="majorHAnsi" w:hAnsiTheme="majorHAnsi"/>
                <w:sz w:val="22"/>
                <w:szCs w:val="22"/>
              </w:rPr>
              <w:t>PLCs</w:t>
            </w:r>
          </w:p>
        </w:tc>
        <w:tc>
          <w:tcPr>
            <w:tcW w:w="1701" w:type="dxa"/>
          </w:tcPr>
          <w:p w14:paraId="4469F13D" w14:textId="1C6752B9" w:rsidR="00C9051E" w:rsidRPr="00F1250E" w:rsidRDefault="00C9051E" w:rsidP="00C9051E">
            <w:pPr>
              <w:rPr>
                <w:rFonts w:asciiTheme="majorHAnsi" w:hAnsiTheme="majorHAnsi"/>
                <w:sz w:val="22"/>
                <w:szCs w:val="22"/>
              </w:rPr>
            </w:pPr>
          </w:p>
        </w:tc>
        <w:tc>
          <w:tcPr>
            <w:tcW w:w="8640" w:type="dxa"/>
          </w:tcPr>
          <w:p w14:paraId="2F589A96" w14:textId="1D49D762" w:rsidR="00C9051E" w:rsidRPr="008B4ABA" w:rsidRDefault="004A2AFD" w:rsidP="00C9051E">
            <w:pPr>
              <w:rPr>
                <w:rFonts w:asciiTheme="majorHAnsi" w:hAnsiTheme="majorHAnsi"/>
                <w:b/>
                <w:sz w:val="22"/>
                <w:szCs w:val="22"/>
              </w:rPr>
            </w:pPr>
            <w:r w:rsidRPr="008B4ABA">
              <w:rPr>
                <w:rFonts w:asciiTheme="majorHAnsi" w:hAnsiTheme="majorHAnsi"/>
                <w:b/>
                <w:sz w:val="22"/>
                <w:szCs w:val="22"/>
              </w:rPr>
              <w:t>Analyze student work to understand students’ development of the concepts and procedures</w:t>
            </w:r>
            <w:r w:rsidRPr="00F1250E">
              <w:rPr>
                <w:rFonts w:asciiTheme="majorHAnsi" w:hAnsiTheme="majorHAnsi"/>
                <w:sz w:val="22"/>
                <w:szCs w:val="22"/>
              </w:rPr>
              <w:t xml:space="preserve">; brainstorm how this new information could be used to improve instruction, revise concept progression, and reflect on how well their task worked to elicit a variety of student thinking that informed their instruction. </w:t>
            </w:r>
            <w:r>
              <w:rPr>
                <w:rFonts w:asciiTheme="majorHAnsi" w:hAnsiTheme="majorHAnsi"/>
                <w:sz w:val="22"/>
                <w:szCs w:val="22"/>
              </w:rPr>
              <w:t xml:space="preserve">Base this on a model of HOW STUDENTS LEARN. </w:t>
            </w:r>
            <w:r w:rsidRPr="00F1250E">
              <w:rPr>
                <w:rFonts w:asciiTheme="majorHAnsi" w:hAnsiTheme="majorHAnsi"/>
                <w:sz w:val="22"/>
                <w:szCs w:val="22"/>
              </w:rPr>
              <w:t>Connect the learning to the CCSS standards identified by the group in September? Create another task to use. Focus on FA should be to develop student thinking (consistent with standards) rather than to see if students’ thinking aligns with the teachers’ thinking and correct it until it does. Goal is to get at deeper ideas and connections within the targeted mathematics.</w:t>
            </w:r>
          </w:p>
        </w:tc>
        <w:tc>
          <w:tcPr>
            <w:tcW w:w="1890" w:type="dxa"/>
          </w:tcPr>
          <w:p w14:paraId="752F35C5" w14:textId="7A60F8B8" w:rsidR="00C9051E" w:rsidRPr="00C9051E" w:rsidRDefault="004A2AFD" w:rsidP="00C9051E">
            <w:pPr>
              <w:rPr>
                <w:rFonts w:asciiTheme="majorHAnsi" w:hAnsiTheme="majorHAnsi"/>
                <w:sz w:val="22"/>
                <w:szCs w:val="22"/>
              </w:rPr>
            </w:pPr>
            <w:r>
              <w:rPr>
                <w:rFonts w:asciiTheme="majorHAnsi" w:hAnsiTheme="majorHAnsi"/>
                <w:sz w:val="22"/>
                <w:szCs w:val="22"/>
              </w:rPr>
              <w:t>Protocol, Posters, markers</w:t>
            </w:r>
          </w:p>
        </w:tc>
      </w:tr>
      <w:tr w:rsidR="00DD3D0C" w:rsidRPr="00F1250E" w14:paraId="121CCA5F" w14:textId="77777777" w:rsidTr="006021E9">
        <w:tc>
          <w:tcPr>
            <w:tcW w:w="1557" w:type="dxa"/>
          </w:tcPr>
          <w:p w14:paraId="2E811CDA" w14:textId="19F87DE8" w:rsidR="00DD3D0C" w:rsidRPr="00F1250E" w:rsidRDefault="004A2AFD" w:rsidP="00C9051E">
            <w:pPr>
              <w:rPr>
                <w:rFonts w:asciiTheme="majorHAnsi" w:hAnsiTheme="majorHAnsi"/>
                <w:sz w:val="22"/>
                <w:szCs w:val="22"/>
              </w:rPr>
            </w:pPr>
            <w:r>
              <w:rPr>
                <w:rFonts w:asciiTheme="majorHAnsi" w:hAnsiTheme="majorHAnsi"/>
                <w:sz w:val="22"/>
                <w:szCs w:val="22"/>
              </w:rPr>
              <w:t>11:00-11:45</w:t>
            </w:r>
          </w:p>
          <w:p w14:paraId="2A3CA652" w14:textId="77777777" w:rsidR="00DD3D0C" w:rsidRPr="00F1250E" w:rsidRDefault="00DD3D0C" w:rsidP="00C9051E">
            <w:pPr>
              <w:rPr>
                <w:rFonts w:asciiTheme="majorHAnsi" w:hAnsiTheme="majorHAnsi"/>
                <w:sz w:val="22"/>
                <w:szCs w:val="22"/>
              </w:rPr>
            </w:pPr>
            <w:r w:rsidRPr="00F1250E">
              <w:rPr>
                <w:rFonts w:asciiTheme="majorHAnsi" w:hAnsiTheme="majorHAnsi"/>
                <w:sz w:val="22"/>
                <w:szCs w:val="22"/>
              </w:rPr>
              <w:t>Breakout rooms</w:t>
            </w:r>
          </w:p>
        </w:tc>
        <w:tc>
          <w:tcPr>
            <w:tcW w:w="1701" w:type="dxa"/>
          </w:tcPr>
          <w:p w14:paraId="7717F1D8" w14:textId="77777777" w:rsidR="008E5664" w:rsidRDefault="008E5664" w:rsidP="00C9051E">
            <w:pPr>
              <w:rPr>
                <w:rFonts w:asciiTheme="majorHAnsi" w:hAnsiTheme="majorHAnsi"/>
                <w:sz w:val="22"/>
                <w:szCs w:val="22"/>
              </w:rPr>
            </w:pPr>
            <w:r>
              <w:rPr>
                <w:rFonts w:asciiTheme="majorHAnsi" w:hAnsiTheme="majorHAnsi"/>
                <w:sz w:val="22"/>
                <w:szCs w:val="22"/>
              </w:rPr>
              <w:t>Lunch</w:t>
            </w:r>
          </w:p>
          <w:p w14:paraId="73C56A6F" w14:textId="77777777" w:rsidR="00DD3D0C" w:rsidRDefault="00DD3D0C" w:rsidP="00C9051E">
            <w:pPr>
              <w:rPr>
                <w:rFonts w:asciiTheme="majorHAnsi" w:hAnsiTheme="majorHAnsi"/>
                <w:sz w:val="22"/>
                <w:szCs w:val="22"/>
              </w:rPr>
            </w:pPr>
            <w:r>
              <w:rPr>
                <w:rFonts w:asciiTheme="majorHAnsi" w:hAnsiTheme="majorHAnsi"/>
                <w:sz w:val="22"/>
                <w:szCs w:val="22"/>
              </w:rPr>
              <w:t>All facilitating</w:t>
            </w:r>
          </w:p>
          <w:p w14:paraId="77910B93" w14:textId="77777777" w:rsidR="00DD3D0C" w:rsidRPr="00F1250E" w:rsidRDefault="00DD3D0C" w:rsidP="00C9051E">
            <w:pPr>
              <w:rPr>
                <w:rFonts w:asciiTheme="majorHAnsi" w:hAnsiTheme="majorHAnsi"/>
                <w:sz w:val="22"/>
                <w:szCs w:val="22"/>
              </w:rPr>
            </w:pPr>
          </w:p>
        </w:tc>
        <w:tc>
          <w:tcPr>
            <w:tcW w:w="8640" w:type="dxa"/>
          </w:tcPr>
          <w:p w14:paraId="1275EBEF" w14:textId="77777777" w:rsidR="00DD3D0C" w:rsidRPr="00F1250E" w:rsidRDefault="00DD3D0C" w:rsidP="00C9051E">
            <w:pPr>
              <w:rPr>
                <w:rFonts w:asciiTheme="majorHAnsi" w:hAnsiTheme="majorHAnsi"/>
                <w:sz w:val="22"/>
                <w:szCs w:val="22"/>
              </w:rPr>
            </w:pPr>
            <w:r w:rsidRPr="008B4ABA">
              <w:rPr>
                <w:rFonts w:asciiTheme="majorHAnsi" w:hAnsiTheme="majorHAnsi"/>
                <w:b/>
                <w:sz w:val="22"/>
                <w:szCs w:val="22"/>
              </w:rPr>
              <w:t>Present analysis of student work</w:t>
            </w:r>
            <w:r w:rsidRPr="00F1250E">
              <w:rPr>
                <w:rFonts w:asciiTheme="majorHAnsi" w:hAnsiTheme="majorHAnsi"/>
                <w:sz w:val="22"/>
                <w:szCs w:val="22"/>
              </w:rPr>
              <w:t xml:space="preserve"> (3-4 smaller groups). We use these same groups throughout the year? Purpose is to help all teachers better understand student learning of the progressions chosen by the PLCs (logic of the learner).</w:t>
            </w:r>
            <w:r>
              <w:rPr>
                <w:rFonts w:asciiTheme="majorHAnsi" w:hAnsiTheme="majorHAnsi"/>
                <w:sz w:val="22"/>
                <w:szCs w:val="22"/>
              </w:rPr>
              <w:t xml:space="preserve"> </w:t>
            </w:r>
          </w:p>
        </w:tc>
        <w:tc>
          <w:tcPr>
            <w:tcW w:w="1890" w:type="dxa"/>
          </w:tcPr>
          <w:p w14:paraId="50E8E818" w14:textId="77777777" w:rsidR="00DD3D0C" w:rsidRPr="00C9051E" w:rsidRDefault="00DD3D0C" w:rsidP="00C9051E">
            <w:pPr>
              <w:rPr>
                <w:rFonts w:asciiTheme="majorHAnsi" w:hAnsiTheme="majorHAnsi"/>
                <w:sz w:val="22"/>
                <w:szCs w:val="22"/>
              </w:rPr>
            </w:pPr>
          </w:p>
        </w:tc>
      </w:tr>
      <w:tr w:rsidR="00856A5D" w:rsidRPr="00F1250E" w14:paraId="079E7D35" w14:textId="77777777" w:rsidTr="00F6590F">
        <w:tc>
          <w:tcPr>
            <w:tcW w:w="13788" w:type="dxa"/>
            <w:gridSpan w:val="4"/>
          </w:tcPr>
          <w:p w14:paraId="53052663" w14:textId="5C4B9D76" w:rsidR="00856A5D" w:rsidRPr="00856A5D" w:rsidRDefault="00856A5D" w:rsidP="00C9051E">
            <w:pPr>
              <w:rPr>
                <w:rFonts w:asciiTheme="majorHAnsi" w:hAnsiTheme="majorHAnsi"/>
                <w:b/>
                <w:sz w:val="22"/>
                <w:szCs w:val="22"/>
              </w:rPr>
            </w:pPr>
            <w:r w:rsidRPr="00856A5D">
              <w:rPr>
                <w:rFonts w:asciiTheme="majorHAnsi" w:hAnsiTheme="majorHAnsi"/>
                <w:b/>
                <w:sz w:val="22"/>
                <w:szCs w:val="22"/>
              </w:rPr>
              <w:t xml:space="preserve">Teachers will cycle through the next three sessions in smaller groups. </w:t>
            </w:r>
          </w:p>
        </w:tc>
      </w:tr>
      <w:tr w:rsidR="00DD3D0C" w:rsidRPr="00F1250E" w14:paraId="3F139197" w14:textId="77777777" w:rsidTr="006021E9">
        <w:trPr>
          <w:trHeight w:val="413"/>
        </w:trPr>
        <w:tc>
          <w:tcPr>
            <w:tcW w:w="1557" w:type="dxa"/>
          </w:tcPr>
          <w:p w14:paraId="523FB32D" w14:textId="31B695AE" w:rsidR="00DD3D0C" w:rsidRPr="00F1250E" w:rsidRDefault="004A2AFD" w:rsidP="00C9051E">
            <w:pPr>
              <w:rPr>
                <w:rFonts w:asciiTheme="majorHAnsi" w:hAnsiTheme="majorHAnsi"/>
                <w:sz w:val="22"/>
                <w:szCs w:val="22"/>
              </w:rPr>
            </w:pPr>
            <w:r>
              <w:rPr>
                <w:rFonts w:asciiTheme="majorHAnsi" w:hAnsiTheme="majorHAnsi"/>
                <w:sz w:val="22"/>
                <w:szCs w:val="22"/>
              </w:rPr>
              <w:t>11:50-12:45</w:t>
            </w:r>
          </w:p>
          <w:p w14:paraId="70C9A94D" w14:textId="77777777" w:rsidR="00DD3D0C" w:rsidRPr="00F1250E" w:rsidRDefault="00DD3D0C" w:rsidP="00C9051E">
            <w:pPr>
              <w:rPr>
                <w:rFonts w:asciiTheme="majorHAnsi" w:hAnsiTheme="majorHAnsi"/>
                <w:sz w:val="22"/>
                <w:szCs w:val="22"/>
              </w:rPr>
            </w:pPr>
            <w:r w:rsidRPr="00F1250E">
              <w:rPr>
                <w:rFonts w:asciiTheme="majorHAnsi" w:hAnsiTheme="majorHAnsi"/>
                <w:sz w:val="22"/>
                <w:szCs w:val="22"/>
              </w:rPr>
              <w:t>Breakout rooms</w:t>
            </w:r>
          </w:p>
        </w:tc>
        <w:tc>
          <w:tcPr>
            <w:tcW w:w="1701" w:type="dxa"/>
          </w:tcPr>
          <w:p w14:paraId="0370D4A8" w14:textId="77777777" w:rsidR="00DD3D0C" w:rsidRPr="00F1250E" w:rsidRDefault="00DD3D0C" w:rsidP="00C9051E">
            <w:pPr>
              <w:rPr>
                <w:rFonts w:asciiTheme="majorHAnsi" w:hAnsiTheme="majorHAnsi"/>
                <w:sz w:val="22"/>
                <w:szCs w:val="22"/>
              </w:rPr>
            </w:pPr>
            <w:r>
              <w:rPr>
                <w:rFonts w:asciiTheme="majorHAnsi" w:hAnsiTheme="majorHAnsi"/>
                <w:sz w:val="22"/>
                <w:szCs w:val="22"/>
              </w:rPr>
              <w:t>Janet</w:t>
            </w:r>
          </w:p>
        </w:tc>
        <w:tc>
          <w:tcPr>
            <w:tcW w:w="8640" w:type="dxa"/>
          </w:tcPr>
          <w:p w14:paraId="1A9AD0E1" w14:textId="7E7EBB99" w:rsidR="00DD3D0C" w:rsidRPr="00F1250E" w:rsidRDefault="00DD3D0C" w:rsidP="00C9051E">
            <w:pPr>
              <w:rPr>
                <w:rFonts w:asciiTheme="majorHAnsi" w:hAnsiTheme="majorHAnsi"/>
                <w:sz w:val="22"/>
                <w:szCs w:val="22"/>
              </w:rPr>
            </w:pPr>
            <w:r w:rsidRPr="008B4ABA">
              <w:rPr>
                <w:rFonts w:asciiTheme="majorHAnsi" w:hAnsiTheme="majorHAnsi"/>
                <w:b/>
                <w:sz w:val="22"/>
                <w:szCs w:val="22"/>
              </w:rPr>
              <w:t>Affecting what students do to learn</w:t>
            </w:r>
            <w:r>
              <w:rPr>
                <w:rFonts w:asciiTheme="majorHAnsi" w:hAnsiTheme="majorHAnsi"/>
                <w:sz w:val="22"/>
                <w:szCs w:val="22"/>
              </w:rPr>
              <w:t xml:space="preserve">. Teachers envision what they want students to do to learn in their classrooms, then have teachers think of a change they could adopt in their classrooms to affect what students are doing to learn.  </w:t>
            </w:r>
            <w:r w:rsidR="00107978">
              <w:rPr>
                <w:rFonts w:asciiTheme="majorHAnsi" w:hAnsiTheme="majorHAnsi"/>
                <w:sz w:val="22"/>
                <w:szCs w:val="22"/>
              </w:rPr>
              <w:t xml:space="preserve">They plan to bring back evidence of what students do to learn. </w:t>
            </w:r>
          </w:p>
        </w:tc>
        <w:tc>
          <w:tcPr>
            <w:tcW w:w="1890" w:type="dxa"/>
          </w:tcPr>
          <w:p w14:paraId="404C02C8" w14:textId="77777777" w:rsidR="00DD3D0C" w:rsidRPr="008B4ABA" w:rsidRDefault="00DD3D0C" w:rsidP="00C9051E">
            <w:pPr>
              <w:rPr>
                <w:rFonts w:asciiTheme="majorHAnsi" w:hAnsiTheme="majorHAnsi"/>
                <w:b/>
                <w:sz w:val="22"/>
                <w:szCs w:val="22"/>
              </w:rPr>
            </w:pPr>
          </w:p>
        </w:tc>
      </w:tr>
      <w:tr w:rsidR="00DD3D0C" w:rsidRPr="00F1250E" w14:paraId="1DAD4B6E" w14:textId="77777777" w:rsidTr="006021E9">
        <w:tc>
          <w:tcPr>
            <w:tcW w:w="1557" w:type="dxa"/>
          </w:tcPr>
          <w:p w14:paraId="6CC52D03" w14:textId="0218D1A4" w:rsidR="00DD3D0C" w:rsidRPr="00F1250E" w:rsidRDefault="00983C55" w:rsidP="00C9051E">
            <w:pPr>
              <w:rPr>
                <w:rFonts w:asciiTheme="majorHAnsi" w:hAnsiTheme="majorHAnsi"/>
                <w:sz w:val="22"/>
                <w:szCs w:val="22"/>
              </w:rPr>
            </w:pPr>
            <w:r>
              <w:rPr>
                <w:rFonts w:asciiTheme="majorHAnsi" w:hAnsiTheme="majorHAnsi"/>
                <w:sz w:val="22"/>
                <w:szCs w:val="22"/>
              </w:rPr>
              <w:t>12:50-1:45</w:t>
            </w:r>
          </w:p>
          <w:p w14:paraId="635CC027" w14:textId="77777777" w:rsidR="00DD3D0C" w:rsidRPr="00F1250E" w:rsidRDefault="00DD3D0C" w:rsidP="00C9051E">
            <w:pPr>
              <w:rPr>
                <w:rFonts w:asciiTheme="majorHAnsi" w:hAnsiTheme="majorHAnsi"/>
                <w:sz w:val="22"/>
                <w:szCs w:val="22"/>
              </w:rPr>
            </w:pPr>
            <w:r w:rsidRPr="00F1250E">
              <w:rPr>
                <w:rFonts w:asciiTheme="majorHAnsi" w:hAnsiTheme="majorHAnsi"/>
                <w:sz w:val="22"/>
                <w:szCs w:val="22"/>
              </w:rPr>
              <w:t>Breakout rooms</w:t>
            </w:r>
          </w:p>
        </w:tc>
        <w:tc>
          <w:tcPr>
            <w:tcW w:w="1701" w:type="dxa"/>
          </w:tcPr>
          <w:p w14:paraId="78447FF1" w14:textId="77777777" w:rsidR="00DD3D0C" w:rsidRPr="00F1250E" w:rsidRDefault="00DD3D0C" w:rsidP="00C9051E">
            <w:pPr>
              <w:rPr>
                <w:rFonts w:asciiTheme="majorHAnsi" w:hAnsiTheme="majorHAnsi"/>
                <w:sz w:val="22"/>
                <w:szCs w:val="22"/>
              </w:rPr>
            </w:pPr>
            <w:r>
              <w:rPr>
                <w:rFonts w:asciiTheme="majorHAnsi" w:hAnsiTheme="majorHAnsi"/>
                <w:sz w:val="22"/>
                <w:szCs w:val="22"/>
              </w:rPr>
              <w:t>Scott</w:t>
            </w:r>
          </w:p>
        </w:tc>
        <w:tc>
          <w:tcPr>
            <w:tcW w:w="8640" w:type="dxa"/>
          </w:tcPr>
          <w:p w14:paraId="76ED3057" w14:textId="77777777" w:rsidR="00DD3D0C" w:rsidRPr="00515604" w:rsidRDefault="00DD3D0C" w:rsidP="00C9051E">
            <w:pPr>
              <w:rPr>
                <w:rFonts w:asciiTheme="majorHAnsi" w:hAnsiTheme="majorHAnsi"/>
                <w:sz w:val="22"/>
                <w:szCs w:val="22"/>
              </w:rPr>
            </w:pPr>
            <w:r w:rsidRPr="008B4ABA">
              <w:rPr>
                <w:rFonts w:ascii="Calibri" w:hAnsi="Calibri" w:cs="Calibri"/>
                <w:b/>
                <w:iCs/>
                <w:sz w:val="22"/>
                <w:szCs w:val="22"/>
              </w:rPr>
              <w:t>Creative and effective ways to activate students as the owners of their own learning</w:t>
            </w:r>
            <w:r w:rsidRPr="00515604">
              <w:rPr>
                <w:rFonts w:ascii="Calibri" w:hAnsi="Calibri" w:cs="Calibri"/>
                <w:iCs/>
                <w:sz w:val="22"/>
                <w:szCs w:val="22"/>
              </w:rPr>
              <w:t xml:space="preserve"> (this was the Key Strategy of FA most selected by participants in the September workshop as something they wanted activities on.) Again, practical and just starting the </w:t>
            </w:r>
            <w:proofErr w:type="gramStart"/>
            <w:r w:rsidRPr="00515604">
              <w:rPr>
                <w:rFonts w:ascii="Calibri" w:hAnsi="Calibri" w:cs="Calibri"/>
                <w:iCs/>
                <w:sz w:val="22"/>
                <w:szCs w:val="22"/>
              </w:rPr>
              <w:t>idea,</w:t>
            </w:r>
            <w:proofErr w:type="gramEnd"/>
            <w:r w:rsidRPr="00515604">
              <w:rPr>
                <w:rFonts w:ascii="Calibri" w:hAnsi="Calibri" w:cs="Calibri"/>
                <w:iCs/>
                <w:sz w:val="22"/>
                <w:szCs w:val="22"/>
              </w:rPr>
              <w:t xml:space="preserve"> but grounded in the essence of FA. The book I ordered for everyone, along with all our experiences could </w:t>
            </w:r>
            <w:r w:rsidRPr="00515604">
              <w:rPr>
                <w:rFonts w:ascii="Calibri" w:hAnsi="Calibri" w:cs="Calibri"/>
                <w:iCs/>
                <w:sz w:val="22"/>
                <w:szCs w:val="22"/>
              </w:rPr>
              <w:lastRenderedPageBreak/>
              <w:t>help with the ideas for this session.</w:t>
            </w:r>
          </w:p>
        </w:tc>
        <w:tc>
          <w:tcPr>
            <w:tcW w:w="1890" w:type="dxa"/>
          </w:tcPr>
          <w:p w14:paraId="04647A1D" w14:textId="77777777" w:rsidR="00DD3D0C" w:rsidRPr="008B4ABA" w:rsidRDefault="00DD3D0C" w:rsidP="00C9051E">
            <w:pPr>
              <w:rPr>
                <w:rFonts w:ascii="Calibri" w:hAnsi="Calibri" w:cs="Calibri"/>
                <w:b/>
                <w:iCs/>
                <w:sz w:val="22"/>
                <w:szCs w:val="22"/>
              </w:rPr>
            </w:pPr>
          </w:p>
        </w:tc>
      </w:tr>
      <w:tr w:rsidR="00DD3D0C" w:rsidRPr="00F1250E" w14:paraId="6FC06766" w14:textId="77777777" w:rsidTr="006021E9">
        <w:trPr>
          <w:trHeight w:val="557"/>
        </w:trPr>
        <w:tc>
          <w:tcPr>
            <w:tcW w:w="1557" w:type="dxa"/>
          </w:tcPr>
          <w:p w14:paraId="1C338AD6" w14:textId="19BCFD8B" w:rsidR="00DD3D0C" w:rsidRPr="00F1250E" w:rsidRDefault="00983C55" w:rsidP="00C9051E">
            <w:pPr>
              <w:rPr>
                <w:rFonts w:asciiTheme="majorHAnsi" w:hAnsiTheme="majorHAnsi"/>
                <w:sz w:val="22"/>
                <w:szCs w:val="22"/>
              </w:rPr>
            </w:pPr>
            <w:r>
              <w:rPr>
                <w:rFonts w:asciiTheme="majorHAnsi" w:hAnsiTheme="majorHAnsi"/>
                <w:sz w:val="22"/>
                <w:szCs w:val="22"/>
              </w:rPr>
              <w:lastRenderedPageBreak/>
              <w:t>1:50-2:45</w:t>
            </w:r>
          </w:p>
          <w:p w14:paraId="0061FF59" w14:textId="77777777" w:rsidR="00DD3D0C" w:rsidRPr="00F1250E" w:rsidRDefault="00DD3D0C" w:rsidP="00C9051E">
            <w:pPr>
              <w:rPr>
                <w:rFonts w:asciiTheme="majorHAnsi" w:hAnsiTheme="majorHAnsi"/>
                <w:sz w:val="22"/>
                <w:szCs w:val="22"/>
              </w:rPr>
            </w:pPr>
            <w:r w:rsidRPr="00F1250E">
              <w:rPr>
                <w:rFonts w:asciiTheme="majorHAnsi" w:hAnsiTheme="majorHAnsi"/>
                <w:sz w:val="22"/>
                <w:szCs w:val="22"/>
              </w:rPr>
              <w:t>Breakout rooms</w:t>
            </w:r>
          </w:p>
        </w:tc>
        <w:tc>
          <w:tcPr>
            <w:tcW w:w="1701" w:type="dxa"/>
          </w:tcPr>
          <w:p w14:paraId="4A8DB75F" w14:textId="77777777" w:rsidR="00DD3D0C" w:rsidRPr="00F1250E" w:rsidRDefault="00DD3D0C" w:rsidP="00C9051E">
            <w:pPr>
              <w:rPr>
                <w:rFonts w:asciiTheme="majorHAnsi" w:hAnsiTheme="majorHAnsi"/>
                <w:sz w:val="22"/>
                <w:szCs w:val="22"/>
              </w:rPr>
            </w:pPr>
            <w:r w:rsidRPr="00F1250E">
              <w:rPr>
                <w:rFonts w:asciiTheme="majorHAnsi" w:hAnsiTheme="majorHAnsi"/>
                <w:sz w:val="22"/>
                <w:szCs w:val="22"/>
              </w:rPr>
              <w:t>Matt</w:t>
            </w:r>
          </w:p>
        </w:tc>
        <w:tc>
          <w:tcPr>
            <w:tcW w:w="8640" w:type="dxa"/>
          </w:tcPr>
          <w:p w14:paraId="39C0A0A3" w14:textId="7688ED6C" w:rsidR="00DD3D0C" w:rsidRPr="00F1250E" w:rsidRDefault="00DD3D0C" w:rsidP="00C9051E">
            <w:pPr>
              <w:rPr>
                <w:rFonts w:asciiTheme="majorHAnsi" w:hAnsiTheme="majorHAnsi"/>
                <w:sz w:val="22"/>
                <w:szCs w:val="22"/>
              </w:rPr>
            </w:pPr>
            <w:r w:rsidRPr="008B4ABA">
              <w:rPr>
                <w:rFonts w:asciiTheme="majorHAnsi" w:hAnsiTheme="majorHAnsi" w:cs="Calibri"/>
                <w:b/>
                <w:sz w:val="22"/>
                <w:szCs w:val="22"/>
              </w:rPr>
              <w:t>Using Dan Meyer</w:t>
            </w:r>
            <w:r w:rsidR="00983C55">
              <w:rPr>
                <w:rFonts w:asciiTheme="majorHAnsi" w:hAnsiTheme="majorHAnsi" w:cs="Calibri"/>
                <w:b/>
                <w:sz w:val="22"/>
                <w:szCs w:val="22"/>
              </w:rPr>
              <w:t>’</w:t>
            </w:r>
            <w:r w:rsidRPr="008B4ABA">
              <w:rPr>
                <w:rFonts w:asciiTheme="majorHAnsi" w:hAnsiTheme="majorHAnsi" w:cs="Calibri"/>
                <w:b/>
                <w:sz w:val="22"/>
                <w:szCs w:val="22"/>
              </w:rPr>
              <w:t>s 101 questions to help students learn how to mathematize situations and ask questions</w:t>
            </w:r>
            <w:r w:rsidRPr="00F1250E">
              <w:rPr>
                <w:rFonts w:asciiTheme="majorHAnsi" w:hAnsiTheme="majorHAnsi" w:cs="Calibri"/>
                <w:sz w:val="22"/>
                <w:szCs w:val="22"/>
              </w:rPr>
              <w:t>. Connects to helping students take ownership of their learning and to what we did in the summer related to student questioning.</w:t>
            </w:r>
          </w:p>
        </w:tc>
        <w:tc>
          <w:tcPr>
            <w:tcW w:w="1890" w:type="dxa"/>
          </w:tcPr>
          <w:p w14:paraId="2DDF6F5F" w14:textId="77777777" w:rsidR="00DD3D0C" w:rsidRPr="008B4ABA" w:rsidRDefault="00DD3D0C" w:rsidP="00C9051E">
            <w:pPr>
              <w:rPr>
                <w:rFonts w:asciiTheme="majorHAnsi" w:hAnsiTheme="majorHAnsi" w:cs="Calibri"/>
                <w:b/>
                <w:sz w:val="22"/>
                <w:szCs w:val="22"/>
              </w:rPr>
            </w:pPr>
          </w:p>
        </w:tc>
      </w:tr>
      <w:tr w:rsidR="00983C55" w:rsidRPr="00F1250E" w14:paraId="6431FDA9" w14:textId="77777777" w:rsidTr="005B0981">
        <w:trPr>
          <w:trHeight w:val="1074"/>
        </w:trPr>
        <w:tc>
          <w:tcPr>
            <w:tcW w:w="1557" w:type="dxa"/>
          </w:tcPr>
          <w:p w14:paraId="5078EB93" w14:textId="77777777" w:rsidR="00983C55" w:rsidRDefault="00983C55" w:rsidP="00C9051E">
            <w:pPr>
              <w:rPr>
                <w:rFonts w:asciiTheme="majorHAnsi" w:hAnsiTheme="majorHAnsi"/>
                <w:sz w:val="22"/>
                <w:szCs w:val="22"/>
              </w:rPr>
            </w:pPr>
            <w:r>
              <w:rPr>
                <w:rFonts w:asciiTheme="majorHAnsi" w:hAnsiTheme="majorHAnsi"/>
                <w:sz w:val="22"/>
                <w:szCs w:val="22"/>
              </w:rPr>
              <w:t>2:45-3:00</w:t>
            </w:r>
          </w:p>
          <w:p w14:paraId="4B84BC5D" w14:textId="1BFC62F2" w:rsidR="00983C55" w:rsidRDefault="00983C55" w:rsidP="00C9051E">
            <w:pPr>
              <w:rPr>
                <w:rFonts w:asciiTheme="majorHAnsi" w:hAnsiTheme="majorHAnsi"/>
                <w:sz w:val="22"/>
                <w:szCs w:val="22"/>
              </w:rPr>
            </w:pPr>
          </w:p>
        </w:tc>
        <w:tc>
          <w:tcPr>
            <w:tcW w:w="1701" w:type="dxa"/>
          </w:tcPr>
          <w:p w14:paraId="3E3B11E1" w14:textId="77777777" w:rsidR="00983C55" w:rsidRPr="00F1250E" w:rsidRDefault="00983C55" w:rsidP="00C9051E">
            <w:pPr>
              <w:rPr>
                <w:rFonts w:asciiTheme="majorHAnsi" w:hAnsiTheme="majorHAnsi"/>
                <w:sz w:val="22"/>
                <w:szCs w:val="22"/>
              </w:rPr>
            </w:pPr>
          </w:p>
        </w:tc>
        <w:tc>
          <w:tcPr>
            <w:tcW w:w="8640" w:type="dxa"/>
          </w:tcPr>
          <w:p w14:paraId="7B29B343" w14:textId="64C83B56" w:rsidR="00983C55" w:rsidRPr="008B4ABA" w:rsidRDefault="00983C55" w:rsidP="00C9051E">
            <w:pPr>
              <w:rPr>
                <w:rFonts w:asciiTheme="majorHAnsi" w:hAnsiTheme="majorHAnsi" w:cs="Calibri"/>
                <w:b/>
                <w:sz w:val="22"/>
                <w:szCs w:val="22"/>
              </w:rPr>
            </w:pPr>
            <w:proofErr w:type="gramStart"/>
            <w:r w:rsidRPr="00F1250E">
              <w:rPr>
                <w:rFonts w:asciiTheme="majorHAnsi" w:hAnsiTheme="majorHAnsi" w:cs="Calibri"/>
                <w:sz w:val="22"/>
                <w:szCs w:val="22"/>
              </w:rPr>
              <w:t>it</w:t>
            </w:r>
            <w:proofErr w:type="gramEnd"/>
            <w:r w:rsidRPr="00F1250E">
              <w:rPr>
                <w:rFonts w:asciiTheme="majorHAnsi" w:hAnsiTheme="majorHAnsi" w:cs="Calibri"/>
                <w:sz w:val="22"/>
                <w:szCs w:val="22"/>
              </w:rPr>
              <w:t xml:space="preserve"> should include their plans for teaching their progression and getting the student work they'll use for the next session. If the team members are all working on the same progression, it seems like it makes sense to have them discuss their results at their school, noticing similarities and differences in their students, before they come to the meeting.</w:t>
            </w:r>
          </w:p>
        </w:tc>
        <w:tc>
          <w:tcPr>
            <w:tcW w:w="1890" w:type="dxa"/>
          </w:tcPr>
          <w:p w14:paraId="09CEF8F8" w14:textId="4C16A673" w:rsidR="00983C55" w:rsidRPr="008B4ABA" w:rsidRDefault="00983C55" w:rsidP="00C9051E">
            <w:pPr>
              <w:rPr>
                <w:rFonts w:asciiTheme="majorHAnsi" w:hAnsiTheme="majorHAnsi" w:cs="Calibri"/>
                <w:b/>
                <w:sz w:val="22"/>
                <w:szCs w:val="22"/>
              </w:rPr>
            </w:pPr>
            <w:r>
              <w:rPr>
                <w:rFonts w:asciiTheme="majorHAnsi" w:hAnsiTheme="majorHAnsi" w:cs="Calibri"/>
                <w:b/>
                <w:sz w:val="22"/>
                <w:szCs w:val="22"/>
              </w:rPr>
              <w:t>Homework and Evaluation</w:t>
            </w:r>
          </w:p>
        </w:tc>
      </w:tr>
    </w:tbl>
    <w:p w14:paraId="36FF423B" w14:textId="77777777" w:rsidR="00DD3D0C" w:rsidRDefault="00DD3D0C"/>
    <w:sectPr w:rsidR="00DD3D0C" w:rsidSect="00DD3D0C">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0C"/>
    <w:rsid w:val="00107978"/>
    <w:rsid w:val="004A2AFD"/>
    <w:rsid w:val="005E735C"/>
    <w:rsid w:val="006021E9"/>
    <w:rsid w:val="00856A5D"/>
    <w:rsid w:val="008E5664"/>
    <w:rsid w:val="00983C55"/>
    <w:rsid w:val="00C73F8C"/>
    <w:rsid w:val="00C9051E"/>
    <w:rsid w:val="00CC16D5"/>
    <w:rsid w:val="00DD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8B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Macintosh Word</Application>
  <DocSecurity>0</DocSecurity>
  <Lines>23</Lines>
  <Paragraphs>6</Paragraphs>
  <ScaleCrop>false</ScaleCrop>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2</cp:revision>
  <dcterms:created xsi:type="dcterms:W3CDTF">2015-04-12T21:02:00Z</dcterms:created>
  <dcterms:modified xsi:type="dcterms:W3CDTF">2015-04-12T21:02:00Z</dcterms:modified>
</cp:coreProperties>
</file>