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C2" w:rsidRDefault="00433890">
      <w:pPr>
        <w:tabs>
          <w:tab w:val="left" w:pos="1635"/>
        </w:tabs>
        <w:ind w:left="0" w:hanging="2"/>
        <w:rPr>
          <w:color w:val="FFFFFF"/>
          <w:sz w:val="22"/>
          <w:szCs w:val="22"/>
        </w:rPr>
      </w:pPr>
      <w:r>
        <w:rPr>
          <w:b/>
          <w:sz w:val="22"/>
          <w:szCs w:val="22"/>
        </w:rPr>
        <w:t>Recreation Aide - Climbing Wall Instructor 1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Recreation Aide – Climbing Wall Instructor, under general supervision, duties may include, but are not limited to: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Assists in supervision and maintenance of the climbing wall’s operation.</w:t>
      </w:r>
    </w:p>
    <w:p w:rsidR="00EC76C2" w:rsidRDefault="0043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Monitors for appropriate facility use and safety practices.</w:t>
      </w:r>
    </w:p>
    <w:p w:rsidR="00EC76C2" w:rsidRDefault="0043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Remedies all unsafe practices or conditions immediately.</w:t>
      </w:r>
    </w:p>
    <w:p w:rsidR="00EC76C2" w:rsidRDefault="0043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Provides quality customer service with climbing wall users and the general public.</w:t>
      </w:r>
    </w:p>
    <w:p w:rsidR="00EC76C2" w:rsidRDefault="0043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Provides new user entry and orientation processes.</w:t>
      </w:r>
    </w:p>
    <w:p w:rsidR="00EC76C2" w:rsidRDefault="0043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Instr</w:t>
      </w:r>
      <w:r>
        <w:rPr>
          <w:color w:val="000000"/>
          <w:sz w:val="22"/>
          <w:szCs w:val="22"/>
        </w:rPr>
        <w:t>ucts skills and safety classes, administers tests, and certifies climbers.</w:t>
      </w:r>
    </w:p>
    <w:p w:rsidR="00EC76C2" w:rsidRDefault="0043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Performs general custodial and maintenance functions, as necessary.</w:t>
      </w:r>
    </w:p>
    <w:p w:rsidR="00EC76C2" w:rsidRDefault="004338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Performs other related duties as assigned or required.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ind w:left="0" w:hanging="2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This position will report to </w:t>
      </w:r>
      <w:r>
        <w:rPr>
          <w:i/>
          <w:color w:val="FF0000"/>
          <w:sz w:val="22"/>
          <w:szCs w:val="22"/>
        </w:rPr>
        <w:t>insert department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i/>
          <w:color w:val="FF0000"/>
          <w:sz w:val="22"/>
          <w:szCs w:val="22"/>
        </w:rPr>
        <w:t>insert</w:t>
      </w:r>
      <w:r>
        <w:rPr>
          <w:i/>
          <w:color w:val="FF0000"/>
          <w:sz w:val="22"/>
          <w:szCs w:val="22"/>
        </w:rPr>
        <w:t xml:space="preserve"> title of supervisor/manager.</w:t>
      </w:r>
    </w:p>
    <w:p w:rsidR="00EC76C2" w:rsidRDefault="00EC76C2">
      <w:pPr>
        <w:ind w:left="0" w:hanging="2"/>
        <w:rPr>
          <w:sz w:val="22"/>
          <w:szCs w:val="22"/>
        </w:rPr>
      </w:pPr>
    </w:p>
    <w:p w:rsidR="00EC76C2" w:rsidRDefault="0043389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This position will work </w:t>
      </w:r>
      <w:r>
        <w:rPr>
          <w:i/>
          <w:color w:val="FF0000"/>
          <w:sz w:val="22"/>
          <w:szCs w:val="22"/>
        </w:rPr>
        <w:t>insert days and hours per week.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Required Qualifications: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b/>
          <w:color w:val="000000"/>
          <w:sz w:val="22"/>
          <w:szCs w:val="22"/>
          <w:u w:val="single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meet the criteria of Climbing Wall Instructor Competencies (PCIA or AMGA).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Applicants must have adequate rock-climbing experience.  Examples may include periodic climbing for 2-3 years, a high intensity of climbing in the past few months, etc.  This experience must be documented and submitted in the form of a climbing resume.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Applicants must be able to easily put on harnesses and tie in appropriately. 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Applicants must be able to belay with an aperture belay device and an assisted locking device in competent and confident manner. 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possess personal climbing equi</w:t>
      </w:r>
      <w:r>
        <w:rPr>
          <w:color w:val="000000"/>
          <w:sz w:val="22"/>
          <w:szCs w:val="22"/>
        </w:rPr>
        <w:t xml:space="preserve">pment (harness, shoes, locking carabiner, belay device, chalk bag, </w:t>
      </w:r>
      <w:proofErr w:type="spellStart"/>
      <w:r>
        <w:rPr>
          <w:color w:val="000000"/>
          <w:sz w:val="22"/>
          <w:szCs w:val="22"/>
        </w:rPr>
        <w:t>etc</w:t>
      </w:r>
      <w:proofErr w:type="spellEnd"/>
      <w:r>
        <w:rPr>
          <w:color w:val="000000"/>
          <w:sz w:val="22"/>
          <w:szCs w:val="22"/>
        </w:rPr>
        <w:t xml:space="preserve">). 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capable of comfortably top roping 5.9 on an artificial climbing wall. 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certified in First Aid and CPR. 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Employees</w:t>
      </w:r>
      <w:r>
        <w:rPr>
          <w:color w:val="000000"/>
          <w:sz w:val="22"/>
          <w:szCs w:val="22"/>
        </w:rPr>
        <w:t xml:space="preserve"> must be able to speak in fr</w:t>
      </w:r>
      <w:r>
        <w:rPr>
          <w:color w:val="000000"/>
          <w:sz w:val="22"/>
          <w:szCs w:val="22"/>
        </w:rPr>
        <w:t>ont of small groups (teaching skills courses).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Applicants must be willing to work at heights up to 30 feet.  Applicants may be exposed to falling objects.  Applicants must be able to stand for long periods of time. </w:t>
      </w:r>
    </w:p>
    <w:p w:rsidR="00EC76C2" w:rsidRDefault="00EC76C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:rsidR="00EC76C2" w:rsidRDefault="0043389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sz w:val="22"/>
          <w:szCs w:val="22"/>
        </w:rPr>
        <w:t>Applicants</w:t>
      </w:r>
      <w:r>
        <w:rPr>
          <w:color w:val="000000"/>
          <w:sz w:val="22"/>
          <w:szCs w:val="22"/>
        </w:rPr>
        <w:t xml:space="preserve"> must be able to work with o</w:t>
      </w:r>
      <w:r>
        <w:rPr>
          <w:color w:val="000000"/>
          <w:sz w:val="22"/>
          <w:szCs w:val="22"/>
        </w:rPr>
        <w:t>thers at all levels, have a professional demeanor, excellent interpersonal skills, strong oral and written communication skills, and emotional intelligence.</w:t>
      </w:r>
      <w:r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br/>
        <w:t>Applicants must be able to manage conflict, collaborate and work effectively both independently an</w:t>
      </w:r>
      <w:r>
        <w:rPr>
          <w:color w:val="000000"/>
          <w:sz w:val="22"/>
          <w:szCs w:val="22"/>
        </w:rPr>
        <w:t>d as a member of a team</w:t>
      </w:r>
    </w:p>
    <w:p w:rsidR="00EC76C2" w:rsidRDefault="00EC76C2">
      <w:pPr>
        <w:ind w:left="0" w:hanging="2"/>
        <w:rPr>
          <w:sz w:val="22"/>
          <w:szCs w:val="22"/>
        </w:rPr>
      </w:pPr>
    </w:p>
    <w:p w:rsidR="00EC76C2" w:rsidRDefault="00EC76C2">
      <w:pPr>
        <w:ind w:left="0" w:hanging="2"/>
        <w:rPr>
          <w:sz w:val="22"/>
          <w:szCs w:val="22"/>
        </w:rPr>
      </w:pPr>
    </w:p>
    <w:p w:rsidR="00EC76C2" w:rsidRDefault="00EC76C2">
      <w:pPr>
        <w:ind w:left="0" w:hanging="2"/>
        <w:rPr>
          <w:sz w:val="22"/>
          <w:szCs w:val="22"/>
        </w:rPr>
      </w:pPr>
    </w:p>
    <w:p w:rsidR="00EC76C2" w:rsidRDefault="00EC76C2">
      <w:pPr>
        <w:ind w:left="0" w:hanging="2"/>
        <w:rPr>
          <w:sz w:val="22"/>
          <w:szCs w:val="22"/>
        </w:rPr>
      </w:pPr>
    </w:p>
    <w:p w:rsidR="00EC76C2" w:rsidRDefault="00EC76C2">
      <w:pPr>
        <w:ind w:left="0" w:hanging="2"/>
        <w:rPr>
          <w:sz w:val="22"/>
          <w:szCs w:val="22"/>
        </w:rPr>
      </w:pPr>
    </w:p>
    <w:p w:rsidR="00EC76C2" w:rsidRDefault="00EC76C2">
      <w:pPr>
        <w:ind w:left="0" w:hanging="2"/>
        <w:rPr>
          <w:sz w:val="22"/>
          <w:szCs w:val="22"/>
        </w:rPr>
      </w:pPr>
    </w:p>
    <w:p w:rsidR="00EC76C2" w:rsidRDefault="00433890">
      <w:pPr>
        <w:ind w:left="0" w:hanging="2"/>
        <w:rPr>
          <w:b/>
          <w:color w:val="000000"/>
        </w:rPr>
      </w:pPr>
      <w:r>
        <w:rPr>
          <w:b/>
          <w:color w:val="000000"/>
        </w:rPr>
        <w:t>Student employees are subject to EWU’s employment Policies and Procedures and the EWU Student Code of Conduct. As a student employee, you are expected to adhere to both. Please be advised that violations of the EWU Student Code of Conduct may affect your e</w:t>
      </w:r>
      <w:r>
        <w:rPr>
          <w:b/>
          <w:color w:val="000000"/>
        </w:rPr>
        <w:t>mployment on campus, even if the conduct occurs beyond the scope of your job responsibilities.</w:t>
      </w:r>
    </w:p>
    <w:p w:rsidR="00EC76C2" w:rsidRDefault="00433890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 xml:space="preserve">All new employees must comply with EWU immunization Policy 602-02 and provide proof of immunity or vaccination to MMR and proof they are fully vaccinated </w:t>
      </w:r>
      <w:bookmarkStart w:id="0" w:name="_GoBack"/>
      <w:bookmarkEnd w:id="0"/>
      <w:r>
        <w:rPr>
          <w:b/>
          <w:highlight w:val="white"/>
        </w:rPr>
        <w:t xml:space="preserve">before beginning work at EWU. Waivers for the immunization requirements are available for medical or sincerely held religious beliefs. </w:t>
      </w:r>
    </w:p>
    <w:p w:rsidR="00EC76C2" w:rsidRDefault="00433890">
      <w:pPr>
        <w:spacing w:before="240" w:after="240" w:line="276" w:lineRule="auto"/>
        <w:ind w:left="0" w:hanging="2"/>
        <w:rPr>
          <w:b/>
          <w:highlight w:val="white"/>
        </w:rPr>
      </w:pPr>
      <w:r>
        <w:rPr>
          <w:b/>
          <w:highlight w:val="white"/>
        </w:rPr>
        <w:t>This position, during the course of university employment will be involved in the receipt of, or accountabilit</w:t>
      </w:r>
      <w:r>
        <w:rPr>
          <w:b/>
          <w:highlight w:val="white"/>
        </w:rPr>
        <w:t>y for, university funds or other items of value; as well as the unsupervised access with the developmentally disabled, vulnerable adults or children under the age of 16. The offer of employment is contingent upon successful completion and passing of a back</w:t>
      </w:r>
      <w:r>
        <w:rPr>
          <w:b/>
          <w:highlight w:val="white"/>
        </w:rPr>
        <w:t>ground check prior to beginning employment.</w:t>
      </w:r>
    </w:p>
    <w:p w:rsidR="00EC76C2" w:rsidRDefault="00433890">
      <w:pPr>
        <w:tabs>
          <w:tab w:val="left" w:pos="1635"/>
        </w:tabs>
        <w:spacing w:before="240" w:after="240" w:line="276" w:lineRule="auto"/>
        <w:ind w:left="0" w:hanging="2"/>
        <w:rPr>
          <w:b/>
          <w:color w:val="A71933"/>
          <w:highlight w:val="white"/>
        </w:rPr>
      </w:pPr>
      <w:r>
        <w:rPr>
          <w:b/>
          <w:color w:val="A71933"/>
          <w:highlight w:val="white"/>
        </w:rPr>
        <w:t>Salary Range A</w:t>
      </w:r>
    </w:p>
    <w:p w:rsidR="00EC76C2" w:rsidRDefault="00EC76C2">
      <w:pPr>
        <w:spacing w:before="240" w:after="240" w:line="276" w:lineRule="auto"/>
        <w:ind w:left="0" w:hanging="2"/>
        <w:rPr>
          <w:b/>
          <w:highlight w:val="white"/>
        </w:rPr>
      </w:pPr>
    </w:p>
    <w:p w:rsidR="00EC76C2" w:rsidRDefault="00EC76C2">
      <w:pPr>
        <w:ind w:left="0" w:hanging="2"/>
        <w:rPr>
          <w:b/>
        </w:rPr>
      </w:pPr>
    </w:p>
    <w:p w:rsidR="00EC76C2" w:rsidRDefault="00EC76C2">
      <w:pPr>
        <w:ind w:left="0" w:hanging="2"/>
        <w:rPr>
          <w:sz w:val="22"/>
          <w:szCs w:val="22"/>
        </w:rPr>
      </w:pPr>
    </w:p>
    <w:sectPr w:rsidR="00EC76C2">
      <w:headerReference w:type="default" r:id="rId8"/>
      <w:footerReference w:type="default" r:id="rId9"/>
      <w:pgSz w:w="12240" w:h="15840"/>
      <w:pgMar w:top="720" w:right="720" w:bottom="720" w:left="720" w:header="720" w:footer="10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890" w:rsidRDefault="00433890">
      <w:pPr>
        <w:spacing w:line="240" w:lineRule="auto"/>
        <w:ind w:left="0" w:hanging="2"/>
      </w:pPr>
      <w:r>
        <w:separator/>
      </w:r>
    </w:p>
  </w:endnote>
  <w:endnote w:type="continuationSeparator" w:id="0">
    <w:p w:rsidR="00433890" w:rsidRDefault="0043389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(T1)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roman"/>
    <w:notTrueType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C2" w:rsidRDefault="004338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53913" y="3587913"/>
                        <a:ext cx="384175" cy="384175"/>
                      </a:xfrm>
                      <a:prstGeom prst="rect">
                        <a:avLst/>
                      </a:prstGeom>
                      <a:solidFill>
                        <a:srgbClr val="A71933"/>
                      </a:solidFill>
                      <a:ln>
                        <a:noFill/>
                      </a:ln>
                    </wps:spPr>
                    <wps:txbx>
                      <w:txbxContent>
                        <w:p w:rsidR="00EC76C2" w:rsidRDefault="00EC76C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393700" cy="3937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3700" cy="393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259900" y="3551400"/>
                        <a:ext cx="6172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EC76C2" w:rsidRDefault="00433890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Student Employment</w:t>
                          </w:r>
                        </w:p>
                        <w:p w:rsidR="00EC76C2" w:rsidRDefault="00433890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Showalter Hall 303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 Cheney, WA 99004-2445</w:t>
                          </w:r>
                        </w:p>
                        <w:p w:rsidR="00EC76C2" w:rsidRDefault="00433890">
                          <w:pPr>
                            <w:spacing w:before="40" w:line="240" w:lineRule="auto"/>
                            <w:ind w:left="0" w:hanging="2"/>
                          </w:pP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 xml:space="preserve">509.359.2525 </w:t>
                          </w:r>
                          <w:r>
                            <w:rPr>
                              <w:rFonts w:ascii="Open Sans" w:eastAsia="Open Sans" w:hAnsi="Open Sans" w:cs="Open Sans"/>
                              <w:color w:val="A71933"/>
                              <w:sz w:val="16"/>
                            </w:rPr>
                            <w:t>•</w:t>
                          </w:r>
                          <w:r>
                            <w:rPr>
                              <w:rFonts w:ascii="Open Sans" w:eastAsia="Open Sans" w:hAnsi="Open Sans" w:cs="Open Sans"/>
                              <w:color w:val="000000"/>
                              <w:sz w:val="16"/>
                            </w:rPr>
                            <w:t>Stuemploy@ewu.edu</w:t>
                          </w:r>
                        </w:p>
                        <w:p w:rsidR="00EC76C2" w:rsidRDefault="00EC76C2">
                          <w:pPr>
                            <w:spacing w:line="240" w:lineRule="auto"/>
                            <w:ind w:left="0" w:hanging="2"/>
                          </w:pPr>
                        </w:p>
                        <w:p w:rsidR="00EC76C2" w:rsidRDefault="00EC76C2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-228599</wp:posOffset>
              </wp:positionH>
              <wp:positionV relativeFrom="paragraph">
                <wp:posOffset>9169400</wp:posOffset>
              </wp:positionV>
              <wp:extent cx="6181725" cy="4667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8172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890" w:rsidRDefault="00433890">
      <w:pPr>
        <w:spacing w:line="240" w:lineRule="auto"/>
        <w:ind w:left="0" w:hanging="2"/>
      </w:pPr>
      <w:r>
        <w:separator/>
      </w:r>
    </w:p>
  </w:footnote>
  <w:footnote w:type="continuationSeparator" w:id="0">
    <w:p w:rsidR="00433890" w:rsidRDefault="0043389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6C2" w:rsidRDefault="004338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Times" w:eastAsia="Times" w:hAnsi="Times" w:cs="Times"/>
        <w:color w:val="000000"/>
      </w:rPr>
    </w:pPr>
    <w:r>
      <w:rPr>
        <w:rFonts w:ascii="Times" w:eastAsia="Times" w:hAnsi="Times" w:cs="Times"/>
        <w:color w:val="000000"/>
      </w:rPr>
      <w:t xml:space="preserve">    Human Resources</w:t>
    </w:r>
    <w:r>
      <w:rPr>
        <w:rFonts w:ascii="Times" w:eastAsia="Times" w:hAnsi="Times" w:cs="Times"/>
        <w:color w:val="000000"/>
      </w:rPr>
      <w:tab/>
    </w:r>
    <w:r>
      <w:rPr>
        <w:noProof/>
      </w:rPr>
      <w:drawing>
        <wp:anchor distT="36576" distB="36576" distL="36576" distR="36576" simplePos="0" relativeHeight="251658240" behindDoc="0" locked="0" layoutInCell="1" hidden="0" allowOverlap="1">
          <wp:simplePos x="0" y="0"/>
          <wp:positionH relativeFrom="column">
            <wp:posOffset>-228599</wp:posOffset>
          </wp:positionH>
          <wp:positionV relativeFrom="paragraph">
            <wp:posOffset>-268604</wp:posOffset>
          </wp:positionV>
          <wp:extent cx="2341245" cy="589280"/>
          <wp:effectExtent l="0" t="0" r="0" b="0"/>
          <wp:wrapNone/>
          <wp:docPr id="3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l="8244" t="21774" r="8244" b="22015"/>
                  <a:stretch>
                    <a:fillRect/>
                  </a:stretch>
                </pic:blipFill>
                <pic:spPr>
                  <a:xfrm>
                    <a:off x="0" y="0"/>
                    <a:ext cx="2341245" cy="589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C76C2" w:rsidRDefault="004338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A71933"/>
        <w:sz w:val="22"/>
        <w:szCs w:val="22"/>
      </w:rPr>
    </w:pPr>
    <w:r>
      <w:rPr>
        <w:rFonts w:ascii="Open Sans" w:eastAsia="Open Sans" w:hAnsi="Open Sans" w:cs="Open Sans"/>
        <w:i/>
        <w:color w:val="A71933"/>
        <w:sz w:val="22"/>
        <w:szCs w:val="22"/>
      </w:rPr>
      <w:t xml:space="preserve">The Office of Student Employment </w:t>
    </w:r>
  </w:p>
  <w:p w:rsidR="00EC76C2" w:rsidRDefault="0043389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ascii="Open Sans" w:eastAsia="Open Sans" w:hAnsi="Open Sans" w:cs="Open Sans"/>
        <w:color w:val="767171"/>
        <w:sz w:val="22"/>
        <w:szCs w:val="22"/>
      </w:rPr>
    </w:pPr>
    <w:r>
      <w:rPr>
        <w:rFonts w:ascii="Open Sans" w:eastAsia="Open Sans" w:hAnsi="Open Sans" w:cs="Open Sans"/>
        <w:b/>
        <w:i/>
        <w:color w:val="767171"/>
        <w:sz w:val="22"/>
        <w:szCs w:val="22"/>
      </w:rPr>
      <w:t>Job Descriptions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13B48"/>
    <w:multiLevelType w:val="multilevel"/>
    <w:tmpl w:val="ECB22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C2"/>
    <w:rsid w:val="00231B61"/>
    <w:rsid w:val="00433890"/>
    <w:rsid w:val="00E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A033B2-BE99-4551-A02E-303CEDA03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line="259" w:lineRule="auto"/>
      <w:outlineLvl w:val="2"/>
    </w:pPr>
    <w:rPr>
      <w:rFonts w:ascii="Calibri Light" w:hAnsi="Calibri Light"/>
      <w:color w:val="1F376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Times (T1) Roman" w:hAnsi="Times (T1) Roman" w:cs="Times (T1) Roman"/>
      <w:color w:val="000000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rPr>
      <w:rFonts w:ascii="Calibri" w:eastAsia="Calibri" w:hAnsi="Calibri"/>
      <w:w w:val="100"/>
      <w:position w:val="-1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rPr>
      <w:rFonts w:ascii="Calibri" w:eastAsia="Calibri" w:hAnsi="Calibri"/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rFonts w:ascii="Calibri Light" w:hAnsi="Calibri Light"/>
      <w:color w:val="1F3763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libri Light" w:eastAsia="Times New Roman" w:hAnsi="Calibri Light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ql-cursor">
    <w:name w:val="ql-cursor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Paragraph">
    <w:name w:val="[Basic Paragraph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WS/l2ZLoC0qUmbyJZqzYyBrA2Q==">AMUW2mWJxcShJlktSyuklWJvHQYlJkVY0J8ev0nPsIs7c8m6EtGgVaUWFtMXRI54LO3rGbpLVTILj3MNswDZWFvA4PsjEoy4F0xOzl1gu2+1F3kC9qMFJhc=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Kissler</dc:creator>
  <cp:lastModifiedBy>Marston, Nicki</cp:lastModifiedBy>
  <cp:revision>2</cp:revision>
  <dcterms:created xsi:type="dcterms:W3CDTF">2024-03-05T23:10:00Z</dcterms:created>
  <dcterms:modified xsi:type="dcterms:W3CDTF">2024-03-05T23:10:00Z</dcterms:modified>
</cp:coreProperties>
</file>